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32750" w:rsidRPr="00195EE5" w14:paraId="6025A5F7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3B13A5C" w14:textId="0C3A02AD" w:rsidR="00032750" w:rsidRPr="00195EE5" w:rsidRDefault="00032750" w:rsidP="00BE3781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/>
              </w:rPr>
            </w:pPr>
            <w:bookmarkStart w:id="0" w:name="_Hlk155882474"/>
            <w:r w:rsidRPr="00195EE5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001B9575" w14:textId="741ACFB7" w:rsidR="00032750" w:rsidRPr="00195EE5" w:rsidRDefault="00032750" w:rsidP="000327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195EE5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60288" behindDoc="1" locked="1" layoutInCell="1" allowOverlap="1" wp14:anchorId="7A2195D4" wp14:editId="757DD07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5EE5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776A3BB7" w14:textId="77777777" w:rsidR="00032750" w:rsidRPr="00195EE5" w:rsidRDefault="00032750" w:rsidP="000327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195EE5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COMMISSION DES SERVICES ET APPLICATIONS MÉTÉOROLOGIQUES, CLIMATOLOGIQUES, HYDROLOGIQUES, MARITIMES ET ENVIRONNEMENTAUX</w:t>
            </w:r>
          </w:p>
          <w:p w14:paraId="6F204EE9" w14:textId="4181DFE1" w:rsidR="00032750" w:rsidRPr="00195EE5" w:rsidRDefault="00032750" w:rsidP="000327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195EE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Troisième session</w:t>
            </w:r>
            <w:r w:rsidRPr="00195EE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195EE5">
              <w:rPr>
                <w:snapToGrid w:val="0"/>
                <w:color w:val="365F91" w:themeColor="accent1" w:themeShade="BF"/>
                <w:szCs w:val="22"/>
                <w:lang w:val="fr-CH"/>
              </w:rPr>
              <w:t>Bali, Indonésie, 4-9 mars 2024</w:t>
            </w:r>
          </w:p>
        </w:tc>
        <w:tc>
          <w:tcPr>
            <w:tcW w:w="2962" w:type="dxa"/>
          </w:tcPr>
          <w:p w14:paraId="45802559" w14:textId="1CD0E16D" w:rsidR="00032750" w:rsidRPr="00195EE5" w:rsidRDefault="00032750" w:rsidP="007F707C">
            <w:pPr>
              <w:tabs>
                <w:tab w:val="clear" w:pos="1134"/>
              </w:tabs>
              <w:spacing w:after="60"/>
              <w:ind w:right="-105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195EE5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 xml:space="preserve">SERCOM-3/Doc. </w:t>
            </w:r>
            <w:r w:rsidR="007F707C" w:rsidRPr="007F707C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4-4(2)</w:t>
            </w:r>
          </w:p>
        </w:tc>
      </w:tr>
      <w:bookmarkEnd w:id="0"/>
      <w:tr w:rsidR="00032750" w:rsidRPr="00195EE5" w14:paraId="337F8F6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F5CDE62" w14:textId="77777777" w:rsidR="00032750" w:rsidRPr="00195EE5" w:rsidRDefault="00032750" w:rsidP="000327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48CC0D6C" w14:textId="77777777" w:rsidR="00032750" w:rsidRPr="00195EE5" w:rsidRDefault="00032750" w:rsidP="000327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1A4B7BF7" w14:textId="01BF0620" w:rsidR="00032750" w:rsidRPr="00195EE5" w:rsidRDefault="00032750" w:rsidP="0003275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195EE5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 w:rsidRPr="00195EE5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</w:r>
            <w:r w:rsidR="00682D97" w:rsidRPr="00195EE5">
              <w:rPr>
                <w:rFonts w:cs="Tahoma"/>
                <w:color w:val="365F91" w:themeColor="accent1" w:themeShade="BF"/>
                <w:szCs w:val="22"/>
                <w:lang w:val="fr-CH"/>
              </w:rPr>
              <w:t>Présidente du SC-CLI</w:t>
            </w:r>
          </w:p>
          <w:p w14:paraId="5CDF6FCC" w14:textId="09245439" w:rsidR="00032750" w:rsidRPr="00195EE5" w:rsidRDefault="00682D97" w:rsidP="0003275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195EE5">
              <w:rPr>
                <w:rFonts w:cs="Tahoma"/>
                <w:color w:val="365F91" w:themeColor="accent1" w:themeShade="BF"/>
                <w:szCs w:val="22"/>
                <w:lang w:val="fr-CH"/>
              </w:rPr>
              <w:t>18</w:t>
            </w:r>
            <w:r w:rsidR="00032750" w:rsidRPr="00195EE5">
              <w:rPr>
                <w:rFonts w:cs="Tahoma"/>
                <w:color w:val="365F91" w:themeColor="accent1" w:themeShade="BF"/>
                <w:szCs w:val="22"/>
                <w:lang w:val="fr-CH"/>
              </w:rPr>
              <w:t>.I.202</w:t>
            </w:r>
            <w:r w:rsidRPr="00195EE5">
              <w:rPr>
                <w:rFonts w:cs="Tahoma"/>
                <w:color w:val="365F91" w:themeColor="accent1" w:themeShade="BF"/>
                <w:szCs w:val="22"/>
                <w:lang w:val="fr-CH"/>
              </w:rPr>
              <w:t>4</w:t>
            </w:r>
          </w:p>
          <w:p w14:paraId="540734C0" w14:textId="02D0C060" w:rsidR="00032750" w:rsidRPr="00195EE5" w:rsidRDefault="00032750" w:rsidP="00032750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195EE5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1</w:t>
            </w:r>
          </w:p>
        </w:tc>
      </w:tr>
    </w:tbl>
    <w:p w14:paraId="3FAE3518" w14:textId="78AD8898" w:rsidR="00A80767" w:rsidRPr="00195EE5" w:rsidRDefault="00DC5426" w:rsidP="00032750">
      <w:pPr>
        <w:pStyle w:val="WMOBodyText"/>
        <w:ind w:left="4536" w:right="-170" w:hanging="4536"/>
        <w:rPr>
          <w:rFonts w:ascii="Verdana Bold" w:hAnsi="Verdana Bold"/>
          <w:spacing w:val="-2"/>
          <w:lang w:val="fr-CH"/>
        </w:rPr>
      </w:pPr>
      <w:r w:rsidRPr="00195EE5">
        <w:rPr>
          <w:b/>
          <w:bCs/>
          <w:lang w:val="fr-CH"/>
        </w:rPr>
        <w:t xml:space="preserve">POINT </w:t>
      </w:r>
      <w:r w:rsidR="006D3615">
        <w:rPr>
          <w:b/>
          <w:bCs/>
          <w:lang w:val="en-CH"/>
        </w:rPr>
        <w:t>4</w:t>
      </w:r>
      <w:r w:rsidRPr="00195EE5">
        <w:rPr>
          <w:b/>
          <w:bCs/>
          <w:lang w:val="fr-CH"/>
        </w:rPr>
        <w:t xml:space="preserve"> DE L</w:t>
      </w:r>
      <w:r w:rsidR="005D535C">
        <w:rPr>
          <w:b/>
          <w:bCs/>
          <w:lang w:val="fr-CH"/>
        </w:rPr>
        <w:t>’</w:t>
      </w:r>
      <w:r w:rsidRPr="00195EE5">
        <w:rPr>
          <w:b/>
          <w:bCs/>
          <w:lang w:val="fr-CH"/>
        </w:rPr>
        <w:t>ORDRE DU JOUR:</w:t>
      </w:r>
      <w:r w:rsidRPr="00195EE5">
        <w:rPr>
          <w:lang w:val="fr-CH"/>
        </w:rPr>
        <w:tab/>
      </w:r>
      <w:r w:rsidRPr="00195EE5">
        <w:rPr>
          <w:b/>
          <w:bCs/>
          <w:lang w:val="fr-CH"/>
        </w:rPr>
        <w:t>RÈGLEMENT TECHNIQUE ET AUTRES QUESTIONS TECHNIQUES</w:t>
      </w:r>
    </w:p>
    <w:p w14:paraId="1937B429" w14:textId="1DAFA427" w:rsidR="00A80767" w:rsidRPr="00195EE5" w:rsidRDefault="00DC5426" w:rsidP="00A80767">
      <w:pPr>
        <w:pStyle w:val="WMOBodyText"/>
        <w:ind w:left="2977" w:hanging="2977"/>
        <w:rPr>
          <w:lang w:val="fr-CH"/>
        </w:rPr>
      </w:pPr>
      <w:r w:rsidRPr="00195EE5">
        <w:rPr>
          <w:b/>
          <w:bCs/>
          <w:lang w:val="fr-CH"/>
        </w:rPr>
        <w:t xml:space="preserve">POINT </w:t>
      </w:r>
      <w:r w:rsidR="006D3615">
        <w:rPr>
          <w:b/>
          <w:bCs/>
          <w:lang w:val="en-CH"/>
        </w:rPr>
        <w:t>4</w:t>
      </w:r>
      <w:r w:rsidRPr="00195EE5">
        <w:rPr>
          <w:b/>
          <w:bCs/>
          <w:lang w:val="fr-CH"/>
        </w:rPr>
        <w:t>.4 DE L</w:t>
      </w:r>
      <w:r w:rsidR="005D535C">
        <w:rPr>
          <w:b/>
          <w:bCs/>
          <w:lang w:val="fr-CH"/>
        </w:rPr>
        <w:t>’</w:t>
      </w:r>
      <w:r w:rsidRPr="00195EE5">
        <w:rPr>
          <w:b/>
          <w:bCs/>
          <w:lang w:val="fr-CH"/>
        </w:rPr>
        <w:t>ORDRE DU JOUR:</w:t>
      </w:r>
      <w:r w:rsidRPr="00195EE5">
        <w:rPr>
          <w:lang w:val="fr-CH"/>
        </w:rPr>
        <w:tab/>
      </w:r>
      <w:r w:rsidRPr="00195EE5">
        <w:rPr>
          <w:b/>
          <w:bCs/>
          <w:lang w:val="fr-CH"/>
        </w:rPr>
        <w:t>Services climatologiques</w:t>
      </w:r>
    </w:p>
    <w:p w14:paraId="09074597" w14:textId="3F11ACEC" w:rsidR="00A80767" w:rsidRPr="00195EE5" w:rsidRDefault="00D4716D" w:rsidP="001350D6">
      <w:pPr>
        <w:pStyle w:val="Heading1"/>
        <w:spacing w:after="360"/>
        <w:rPr>
          <w:lang w:val="fr-CH"/>
        </w:rPr>
      </w:pPr>
      <w:bookmarkStart w:id="1" w:name="_APPENDIX_A:_"/>
      <w:bookmarkEnd w:id="1"/>
      <w:r w:rsidRPr="00195EE5">
        <w:rPr>
          <w:lang w:val="fr-CH"/>
        </w:rPr>
        <w:t>FEUILLE DE ROUTE RELATIVE AUX RAPPORTS SUR L</w:t>
      </w:r>
      <w:r w:rsidR="005D535C">
        <w:rPr>
          <w:lang w:val="fr-CH"/>
        </w:rPr>
        <w:t>’</w:t>
      </w:r>
      <w:r w:rsidRPr="00195EE5">
        <w:rPr>
          <w:lang w:val="fr-CH"/>
        </w:rPr>
        <w:t>ÉTAT DU CLIMAT À L</w:t>
      </w:r>
      <w:r w:rsidR="005D535C">
        <w:rPr>
          <w:lang w:val="fr-CH"/>
        </w:rPr>
        <w:t>’</w:t>
      </w:r>
      <w:r w:rsidRPr="00195EE5">
        <w:rPr>
          <w:lang w:val="fr-CH"/>
        </w:rPr>
        <w:t>ÉCHELLE MONDIALE ET RÉGIONALE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195EE5" w14:paraId="3B2E4BA5" w14:textId="77777777" w:rsidTr="00213BFF">
        <w:trPr>
          <w:jc w:val="center"/>
        </w:trPr>
        <w:tc>
          <w:tcPr>
            <w:tcW w:w="5000" w:type="pct"/>
          </w:tcPr>
          <w:p w14:paraId="76732A65" w14:textId="0E3ABC98" w:rsidR="000731AA" w:rsidRPr="00195EE5" w:rsidRDefault="00032750" w:rsidP="00213BFF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CH"/>
              </w:rPr>
            </w:pPr>
            <w:r w:rsidRPr="00195EE5">
              <w:rPr>
                <w:b/>
                <w:bCs/>
                <w:lang w:val="fr-CH"/>
              </w:rPr>
              <w:t>RÉSUMÉ</w:t>
            </w:r>
          </w:p>
        </w:tc>
      </w:tr>
      <w:tr w:rsidR="000731AA" w:rsidRPr="006D3615" w14:paraId="1CDE3821" w14:textId="77777777" w:rsidTr="00213BFF">
        <w:trPr>
          <w:jc w:val="center"/>
        </w:trPr>
        <w:tc>
          <w:tcPr>
            <w:tcW w:w="5000" w:type="pct"/>
          </w:tcPr>
          <w:p w14:paraId="7A18C298" w14:textId="77777777" w:rsidR="000731AA" w:rsidRPr="00195EE5" w:rsidRDefault="000731AA" w:rsidP="00D66DCC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195EE5">
              <w:rPr>
                <w:b/>
                <w:bCs/>
                <w:lang w:val="fr-CH"/>
              </w:rPr>
              <w:t>Document présenté par:</w:t>
            </w:r>
            <w:r w:rsidRPr="00195EE5">
              <w:rPr>
                <w:lang w:val="fr-CH"/>
              </w:rPr>
              <w:t xml:space="preserve"> le Président de la Commission</w:t>
            </w:r>
          </w:p>
          <w:p w14:paraId="22EE3044" w14:textId="002ADFCA" w:rsidR="000731AA" w:rsidRPr="00195EE5" w:rsidRDefault="000731AA" w:rsidP="00795D3E">
            <w:pPr>
              <w:pStyle w:val="WMOBodyText"/>
              <w:spacing w:before="160"/>
              <w:jc w:val="left"/>
              <w:rPr>
                <w:b/>
                <w:bCs/>
                <w:lang w:val="fr-CH"/>
              </w:rPr>
            </w:pPr>
            <w:r w:rsidRPr="00195EE5">
              <w:rPr>
                <w:b/>
                <w:bCs/>
                <w:lang w:val="fr-CH"/>
              </w:rPr>
              <w:t>Objectif stratégique 2024-2027:</w:t>
            </w:r>
            <w:r w:rsidRPr="00195EE5">
              <w:rPr>
                <w:lang w:val="fr-CH"/>
              </w:rPr>
              <w:t xml:space="preserve"> Objectif 1.2 – Élargir la fourniture</w:t>
            </w:r>
            <w:r w:rsidR="00421DE5" w:rsidRPr="00195EE5">
              <w:rPr>
                <w:lang w:val="fr-CH"/>
              </w:rPr>
              <w:t>, à tous les échelons,</w:t>
            </w:r>
            <w:r w:rsidR="00682D97" w:rsidRPr="00195EE5">
              <w:rPr>
                <w:lang w:val="fr-CH"/>
              </w:rPr>
              <w:t xml:space="preserve"> </w:t>
            </w:r>
            <w:r w:rsidRPr="00195EE5">
              <w:rPr>
                <w:lang w:val="fr-CH"/>
              </w:rPr>
              <w:t>d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>informations et de services climatologiques d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>aide à la décision</w:t>
            </w:r>
          </w:p>
          <w:p w14:paraId="26BE5BAC" w14:textId="322B1172" w:rsidR="000731AA" w:rsidRPr="00195EE5" w:rsidRDefault="000731AA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195EE5">
              <w:rPr>
                <w:b/>
                <w:bCs/>
                <w:lang w:val="fr-CH"/>
              </w:rPr>
              <w:t>Incidences financières et administratives:</w:t>
            </w:r>
            <w:r w:rsidRPr="00195EE5">
              <w:rPr>
                <w:lang w:val="fr-CH"/>
              </w:rPr>
              <w:t xml:space="preserve"> </w:t>
            </w:r>
            <w:r w:rsidR="00421DE5" w:rsidRPr="00195EE5">
              <w:rPr>
                <w:lang w:val="fr-CH"/>
              </w:rPr>
              <w:t>d</w:t>
            </w:r>
            <w:r w:rsidRPr="00195EE5">
              <w:rPr>
                <w:lang w:val="fr-CH"/>
              </w:rPr>
              <w:t>ans les limites prévues dans le Plan stratégique et le Plan opérationnel 2024-2027</w:t>
            </w:r>
          </w:p>
          <w:p w14:paraId="6FCFAD73" w14:textId="7A2679A9" w:rsidR="000731AA" w:rsidRPr="00195EE5" w:rsidRDefault="000731AA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195EE5">
              <w:rPr>
                <w:b/>
                <w:bCs/>
                <w:lang w:val="fr-CH"/>
              </w:rPr>
              <w:t>Principaux responsables de la mise en œuvre:</w:t>
            </w:r>
            <w:r w:rsidRPr="00195EE5">
              <w:rPr>
                <w:lang w:val="fr-CH"/>
              </w:rPr>
              <w:t xml:space="preserve"> SERCOM et conseils régionaux</w:t>
            </w:r>
          </w:p>
          <w:p w14:paraId="0D3DF810" w14:textId="13660616" w:rsidR="000731AA" w:rsidRPr="00195EE5" w:rsidRDefault="000731AA" w:rsidP="00795D3E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195EE5">
              <w:rPr>
                <w:b/>
                <w:bCs/>
                <w:lang w:val="fr-CH"/>
              </w:rPr>
              <w:t>Calendrier:</w:t>
            </w:r>
            <w:r w:rsidRPr="00195EE5">
              <w:rPr>
                <w:lang w:val="fr-CH"/>
              </w:rPr>
              <w:t xml:space="preserve"> 2024</w:t>
            </w:r>
            <w:r w:rsidR="00421DE5" w:rsidRPr="00195EE5">
              <w:rPr>
                <w:lang w:val="fr-CH"/>
              </w:rPr>
              <w:t>–</w:t>
            </w:r>
            <w:r w:rsidRPr="00195EE5">
              <w:rPr>
                <w:lang w:val="fr-CH"/>
              </w:rPr>
              <w:t>2027</w:t>
            </w:r>
          </w:p>
          <w:p w14:paraId="592C8B06" w14:textId="1C3B2499" w:rsidR="000731AA" w:rsidRPr="00195EE5" w:rsidRDefault="000731AA" w:rsidP="001350D6">
            <w:pPr>
              <w:pStyle w:val="WMOBodyText"/>
              <w:spacing w:before="160" w:after="120"/>
              <w:jc w:val="left"/>
              <w:rPr>
                <w:lang w:val="fr-CH"/>
              </w:rPr>
            </w:pPr>
            <w:r w:rsidRPr="00195EE5">
              <w:rPr>
                <w:b/>
                <w:bCs/>
                <w:lang w:val="fr-CH"/>
              </w:rPr>
              <w:t>Mesure attendue:</w:t>
            </w:r>
            <w:r w:rsidRPr="00195EE5">
              <w:rPr>
                <w:lang w:val="fr-CH"/>
              </w:rPr>
              <w:t xml:space="preserve"> </w:t>
            </w:r>
            <w:r w:rsidR="00421DE5" w:rsidRPr="00195EE5">
              <w:rPr>
                <w:lang w:val="fr-CH"/>
              </w:rPr>
              <w:t>adoption du</w:t>
            </w:r>
            <w:r w:rsidRPr="00195EE5">
              <w:rPr>
                <w:lang w:val="fr-CH"/>
              </w:rPr>
              <w:t xml:space="preserve"> </w:t>
            </w:r>
            <w:hyperlink w:anchor="_Projet_de_recommandation" w:history="1">
              <w:r w:rsidRPr="00195EE5">
                <w:rPr>
                  <w:rStyle w:val="Hyperlink"/>
                  <w:lang w:val="fr-CH"/>
                </w:rPr>
                <w:t xml:space="preserve">projet de recommandation </w:t>
              </w:r>
              <w:r w:rsidR="00AA72F6">
                <w:rPr>
                  <w:rStyle w:val="Hyperlink"/>
                  <w:lang w:val="fr-CH"/>
                </w:rPr>
                <w:t>4.4(2)</w:t>
              </w:r>
              <w:r w:rsidRPr="00195EE5">
                <w:rPr>
                  <w:rStyle w:val="Hyperlink"/>
                  <w:lang w:val="fr-CH"/>
                </w:rPr>
                <w:t>/1 (SERCOM-3)</w:t>
              </w:r>
            </w:hyperlink>
          </w:p>
        </w:tc>
      </w:tr>
    </w:tbl>
    <w:p w14:paraId="141C0064" w14:textId="77777777" w:rsidR="00092CAE" w:rsidRPr="00195EE5" w:rsidRDefault="00092CAE">
      <w:pPr>
        <w:tabs>
          <w:tab w:val="clear" w:pos="1134"/>
        </w:tabs>
        <w:jc w:val="left"/>
        <w:rPr>
          <w:lang w:val="fr-CH"/>
        </w:rPr>
      </w:pPr>
    </w:p>
    <w:p w14:paraId="1147AADD" w14:textId="77777777" w:rsidR="00331964" w:rsidRPr="00195EE5" w:rsidRDefault="00331964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195EE5">
        <w:rPr>
          <w:lang w:val="fr-CH"/>
        </w:rPr>
        <w:br w:type="page"/>
      </w:r>
    </w:p>
    <w:p w14:paraId="05728C0C" w14:textId="77777777" w:rsidR="000731AA" w:rsidRPr="00195EE5" w:rsidRDefault="000731AA" w:rsidP="001350D6">
      <w:pPr>
        <w:pStyle w:val="Heading1"/>
        <w:spacing w:after="360"/>
        <w:rPr>
          <w:lang w:val="fr-CH"/>
        </w:rPr>
      </w:pPr>
      <w:r w:rsidRPr="00195EE5">
        <w:rPr>
          <w:lang w:val="fr-CH"/>
        </w:rPr>
        <w:lastRenderedPageBreak/>
        <w:t>CONSIDÉRATIONS GÉNÉRALES</w:t>
      </w:r>
    </w:p>
    <w:p w14:paraId="6309ED3D" w14:textId="77777777" w:rsidR="008B4F21" w:rsidRPr="00195EE5" w:rsidRDefault="008B4F21" w:rsidP="00697C03">
      <w:pPr>
        <w:pStyle w:val="Heading3"/>
        <w:rPr>
          <w:lang w:val="fr-CH"/>
        </w:rPr>
      </w:pPr>
      <w:r w:rsidRPr="00195EE5">
        <w:rPr>
          <w:lang w:val="fr-CH"/>
        </w:rPr>
        <w:t>Introduction</w:t>
      </w:r>
    </w:p>
    <w:p w14:paraId="0EDF3187" w14:textId="36BE2CCA" w:rsidR="008B4F21" w:rsidRPr="00195EE5" w:rsidRDefault="008B4F21" w:rsidP="003A38C8">
      <w:pPr>
        <w:pStyle w:val="WMOBodyText"/>
        <w:ind w:right="-170"/>
        <w:rPr>
          <w:lang w:val="fr-CH"/>
        </w:rPr>
      </w:pPr>
      <w:r w:rsidRPr="00195EE5">
        <w:rPr>
          <w:lang w:val="fr-CH"/>
        </w:rPr>
        <w:t>Le rapport annuel de l</w:t>
      </w:r>
      <w:r w:rsidR="005D535C">
        <w:rPr>
          <w:lang w:val="fr-CH"/>
        </w:rPr>
        <w:t>’</w:t>
      </w:r>
      <w:r w:rsidRPr="00195EE5">
        <w:rPr>
          <w:lang w:val="fr-CH"/>
        </w:rPr>
        <w:t>Organisation météorologique mondiale (OMM) sur l</w:t>
      </w:r>
      <w:r w:rsidR="005D535C">
        <w:rPr>
          <w:lang w:val="fr-CH"/>
        </w:rPr>
        <w:t>’</w:t>
      </w:r>
      <w:r w:rsidRPr="00195EE5">
        <w:rPr>
          <w:lang w:val="fr-CH"/>
        </w:rPr>
        <w:t>état du climat mondial est publié depuis 1993. À l</w:t>
      </w:r>
      <w:r w:rsidR="005D535C">
        <w:rPr>
          <w:lang w:val="fr-CH"/>
        </w:rPr>
        <w:t>’</w:t>
      </w:r>
      <w:r w:rsidRPr="00195EE5">
        <w:rPr>
          <w:lang w:val="fr-CH"/>
        </w:rPr>
        <w:t>origine, il visait principalement à informer les Membres sur la variabilité du climat et le changement climatique à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échelle mondiale, ainsi que sur les phénomènes extrêmes qui y sont associés. </w:t>
      </w:r>
      <w:r w:rsidR="00CE0DA4" w:rsidRPr="00195EE5">
        <w:rPr>
          <w:lang w:val="fr-CH"/>
        </w:rPr>
        <w:t>En 2016, i</w:t>
      </w:r>
      <w:r w:rsidRPr="00195EE5">
        <w:rPr>
          <w:lang w:val="fr-CH"/>
        </w:rPr>
        <w:t xml:space="preserve">l a évolué pour inclure les </w:t>
      </w:r>
      <w:r w:rsidR="00CE0DA4" w:rsidRPr="00195EE5">
        <w:rPr>
          <w:lang w:val="fr-CH"/>
        </w:rPr>
        <w:t>répercussions</w:t>
      </w:r>
      <w:r w:rsidRPr="00195EE5">
        <w:rPr>
          <w:lang w:val="fr-CH"/>
        </w:rPr>
        <w:t xml:space="preserve"> socio-économiques </w:t>
      </w:r>
      <w:r w:rsidR="00CE0DA4" w:rsidRPr="00195EE5">
        <w:rPr>
          <w:lang w:val="fr-CH"/>
        </w:rPr>
        <w:t xml:space="preserve">sur </w:t>
      </w:r>
      <w:r w:rsidRPr="00195EE5">
        <w:rPr>
          <w:lang w:val="fr-CH"/>
        </w:rPr>
        <w:t>divers secteurs</w:t>
      </w:r>
      <w:r w:rsidR="00CE0DA4" w:rsidRPr="00195EE5">
        <w:rPr>
          <w:lang w:val="fr-CH"/>
        </w:rPr>
        <w:t>,</w:t>
      </w:r>
      <w:r w:rsidRPr="00195EE5">
        <w:rPr>
          <w:lang w:val="fr-CH"/>
        </w:rPr>
        <w:t xml:space="preserve"> tels que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agriculture et la sécurité alimentaire, la santé, les déplacements de population et les migrations, ainsi que </w:t>
      </w:r>
      <w:r w:rsidR="00CE0DA4" w:rsidRPr="00195EE5">
        <w:rPr>
          <w:lang w:val="fr-CH"/>
        </w:rPr>
        <w:t>des considérations d</w:t>
      </w:r>
      <w:r w:rsidR="005D535C">
        <w:rPr>
          <w:lang w:val="fr-CH"/>
        </w:rPr>
        <w:t>’</w:t>
      </w:r>
      <w:r w:rsidR="00CE0DA4" w:rsidRPr="00195EE5">
        <w:rPr>
          <w:lang w:val="fr-CH"/>
        </w:rPr>
        <w:t xml:space="preserve">ordre </w:t>
      </w:r>
      <w:r w:rsidRPr="00195EE5">
        <w:rPr>
          <w:lang w:val="fr-CH"/>
        </w:rPr>
        <w:t>économique et environnementa</w:t>
      </w:r>
      <w:r w:rsidR="00CE0DA4" w:rsidRPr="00195EE5">
        <w:rPr>
          <w:lang w:val="fr-CH"/>
        </w:rPr>
        <w:t>l</w:t>
      </w:r>
      <w:r w:rsidRPr="00195EE5">
        <w:rPr>
          <w:lang w:val="fr-CH"/>
        </w:rPr>
        <w:t xml:space="preserve">. En conséquence, </w:t>
      </w:r>
      <w:r w:rsidR="0097001E" w:rsidRPr="00195EE5">
        <w:rPr>
          <w:lang w:val="fr-CH"/>
        </w:rPr>
        <w:t xml:space="preserve">les </w:t>
      </w:r>
      <w:r w:rsidR="007D7E50" w:rsidRPr="00195EE5">
        <w:rPr>
          <w:lang w:val="fr-CH"/>
        </w:rPr>
        <w:t>contributions</w:t>
      </w:r>
      <w:r w:rsidR="0097001E" w:rsidRPr="00195EE5">
        <w:rPr>
          <w:lang w:val="fr-CH"/>
        </w:rPr>
        <w:t xml:space="preserve"> à ce rapport </w:t>
      </w:r>
      <w:r w:rsidR="00195EE5" w:rsidRPr="00195EE5">
        <w:rPr>
          <w:lang w:val="fr-CH"/>
        </w:rPr>
        <w:t>sont</w:t>
      </w:r>
      <w:r w:rsidR="007D7E50" w:rsidRPr="00195EE5">
        <w:rPr>
          <w:lang w:val="fr-CH"/>
        </w:rPr>
        <w:t xml:space="preserve"> </w:t>
      </w:r>
      <w:r w:rsidR="0097001E" w:rsidRPr="00195EE5">
        <w:rPr>
          <w:lang w:val="fr-CH"/>
        </w:rPr>
        <w:t xml:space="preserve">désormais </w:t>
      </w:r>
      <w:r w:rsidR="00195EE5" w:rsidRPr="00195EE5">
        <w:rPr>
          <w:lang w:val="fr-CH"/>
        </w:rPr>
        <w:t xml:space="preserve">issues </w:t>
      </w:r>
      <w:r w:rsidR="0097001E" w:rsidRPr="00195EE5">
        <w:rPr>
          <w:lang w:val="fr-CH"/>
        </w:rPr>
        <w:t>de domaines d</w:t>
      </w:r>
      <w:r w:rsidR="005D535C">
        <w:rPr>
          <w:lang w:val="fr-CH"/>
        </w:rPr>
        <w:t>’</w:t>
      </w:r>
      <w:r w:rsidR="0097001E" w:rsidRPr="00195EE5">
        <w:rPr>
          <w:lang w:val="fr-CH"/>
        </w:rPr>
        <w:t xml:space="preserve">expertise liés à des </w:t>
      </w:r>
      <w:r w:rsidRPr="00195EE5">
        <w:rPr>
          <w:lang w:val="fr-CH"/>
        </w:rPr>
        <w:t xml:space="preserve">indicateurs climatiques </w:t>
      </w:r>
      <w:r w:rsidR="0097001E" w:rsidRPr="00195EE5">
        <w:rPr>
          <w:lang w:val="fr-CH"/>
        </w:rPr>
        <w:t>plus variés</w:t>
      </w:r>
      <w:r w:rsidR="007D7E50" w:rsidRPr="00195EE5">
        <w:rPr>
          <w:lang w:val="fr-CH"/>
        </w:rPr>
        <w:t xml:space="preserve"> et d</w:t>
      </w:r>
      <w:r w:rsidR="005D535C">
        <w:rPr>
          <w:lang w:val="fr-CH"/>
        </w:rPr>
        <w:t>’</w:t>
      </w:r>
      <w:r w:rsidR="007D7E50" w:rsidRPr="00195EE5">
        <w:rPr>
          <w:lang w:val="fr-CH"/>
        </w:rPr>
        <w:t xml:space="preserve">autres </w:t>
      </w:r>
      <w:r w:rsidRPr="00195EE5">
        <w:rPr>
          <w:lang w:val="fr-CH"/>
        </w:rPr>
        <w:t>agences des Nations Unies concernées.</w:t>
      </w:r>
    </w:p>
    <w:p w14:paraId="237BBEE4" w14:textId="3563227F" w:rsidR="008B4F21" w:rsidRPr="00195EE5" w:rsidRDefault="00BE2D55" w:rsidP="003A38C8">
      <w:pPr>
        <w:pStyle w:val="WMOBodyText"/>
        <w:ind w:right="-170"/>
        <w:rPr>
          <w:lang w:val="fr-CH"/>
        </w:rPr>
      </w:pPr>
      <w:r w:rsidRPr="00195EE5">
        <w:rPr>
          <w:lang w:val="fr-CH"/>
        </w:rPr>
        <w:t>Depuis 2016,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OMM </w:t>
      </w:r>
      <w:r w:rsidR="007D7E50" w:rsidRPr="00195EE5">
        <w:rPr>
          <w:lang w:val="fr-CH"/>
        </w:rPr>
        <w:t xml:space="preserve">publie </w:t>
      </w:r>
      <w:r w:rsidRPr="00195EE5">
        <w:rPr>
          <w:lang w:val="fr-CH"/>
        </w:rPr>
        <w:t>chaque année un rapport provisoire sur l</w:t>
      </w:r>
      <w:r w:rsidR="005D535C">
        <w:rPr>
          <w:lang w:val="fr-CH"/>
        </w:rPr>
        <w:t>’</w:t>
      </w:r>
      <w:r w:rsidRPr="00195EE5">
        <w:rPr>
          <w:lang w:val="fr-CH"/>
        </w:rPr>
        <w:t>état du climat mondial à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intention </w:t>
      </w:r>
      <w:r w:rsidR="007D7E50" w:rsidRPr="00195EE5">
        <w:rPr>
          <w:lang w:val="fr-CH"/>
        </w:rPr>
        <w:t>de</w:t>
      </w:r>
      <w:r w:rsidRPr="00195EE5">
        <w:rPr>
          <w:lang w:val="fr-CH"/>
        </w:rPr>
        <w:t xml:space="preserve"> la Conférence des Parties </w:t>
      </w:r>
      <w:r w:rsidR="007D7E50" w:rsidRPr="00195EE5">
        <w:rPr>
          <w:lang w:val="fr-CH"/>
        </w:rPr>
        <w:t xml:space="preserve">(COP) </w:t>
      </w:r>
      <w:r w:rsidRPr="00195EE5">
        <w:rPr>
          <w:lang w:val="fr-CH"/>
        </w:rPr>
        <w:t>à la Convention-cadre des Nations Unies sur les changements climatiques (CCNUCC).</w:t>
      </w:r>
    </w:p>
    <w:p w14:paraId="5D57092B" w14:textId="31CFBF88" w:rsidR="008B4F21" w:rsidRPr="00195EE5" w:rsidRDefault="008B4F21" w:rsidP="008B4F21">
      <w:pPr>
        <w:pStyle w:val="WMOBodyText"/>
        <w:rPr>
          <w:lang w:val="fr-CH"/>
        </w:rPr>
      </w:pPr>
      <w:r w:rsidRPr="00195EE5">
        <w:rPr>
          <w:lang w:val="fr-CH"/>
        </w:rPr>
        <w:t>En 2019, l</w:t>
      </w:r>
      <w:r w:rsidR="005D535C">
        <w:rPr>
          <w:lang w:val="fr-CH"/>
        </w:rPr>
        <w:t>’</w:t>
      </w:r>
      <w:r w:rsidRPr="00195EE5">
        <w:rPr>
          <w:lang w:val="fr-CH"/>
        </w:rPr>
        <w:t>OMM a commencé à publier d</w:t>
      </w:r>
      <w:r w:rsidR="005D535C">
        <w:rPr>
          <w:lang w:val="fr-CH"/>
        </w:rPr>
        <w:t>’</w:t>
      </w:r>
      <w:r w:rsidRPr="00195EE5">
        <w:rPr>
          <w:lang w:val="fr-CH"/>
        </w:rPr>
        <w:t>autres rapports sur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état du climat, notamment le rapport </w:t>
      </w:r>
      <w:r w:rsidRPr="00195EE5">
        <w:rPr>
          <w:i/>
          <w:iCs/>
          <w:lang w:val="fr-CH"/>
        </w:rPr>
        <w:t>Unis autour de la science</w:t>
      </w:r>
      <w:r w:rsidRPr="00195EE5">
        <w:rPr>
          <w:lang w:val="fr-CH"/>
        </w:rPr>
        <w:t xml:space="preserve"> et celui sur l</w:t>
      </w:r>
      <w:r w:rsidR="005D535C">
        <w:rPr>
          <w:lang w:val="fr-CH"/>
        </w:rPr>
        <w:t>’</w:t>
      </w:r>
      <w:r w:rsidRPr="00195EE5">
        <w:rPr>
          <w:lang w:val="fr-CH"/>
        </w:rPr>
        <w:t>état des services climatologiques</w:t>
      </w:r>
      <w:r w:rsidR="007D7E50" w:rsidRPr="00195EE5">
        <w:rPr>
          <w:lang w:val="fr-CH"/>
        </w:rPr>
        <w:t xml:space="preserve"> (</w:t>
      </w:r>
      <w:r w:rsidR="007D7E50" w:rsidRPr="00195EE5">
        <w:rPr>
          <w:i/>
          <w:iCs/>
          <w:lang w:val="fr-CH"/>
        </w:rPr>
        <w:t>State of Climate Services</w:t>
      </w:r>
      <w:r w:rsidR="007D7E50" w:rsidRPr="00195EE5">
        <w:rPr>
          <w:lang w:val="fr-CH"/>
        </w:rPr>
        <w:t>)</w:t>
      </w:r>
      <w:r w:rsidRPr="00195EE5">
        <w:rPr>
          <w:lang w:val="fr-CH"/>
        </w:rPr>
        <w:t>.</w:t>
      </w:r>
    </w:p>
    <w:p w14:paraId="6F079660" w14:textId="06AFAB72" w:rsidR="008B4F21" w:rsidRPr="00195EE5" w:rsidRDefault="008B4F21" w:rsidP="003A38C8">
      <w:pPr>
        <w:pStyle w:val="WMOBodyText"/>
        <w:ind w:right="-170"/>
        <w:rPr>
          <w:lang w:val="fr-CH"/>
        </w:rPr>
      </w:pPr>
      <w:r w:rsidRPr="00195EE5">
        <w:rPr>
          <w:lang w:val="fr-CH"/>
        </w:rPr>
        <w:t>Au niveau régional,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OMM </w:t>
      </w:r>
      <w:r w:rsidR="007D7E50" w:rsidRPr="00195EE5">
        <w:rPr>
          <w:lang w:val="fr-CH"/>
        </w:rPr>
        <w:t>produit, en collaboration avec les conseils régionaux,</w:t>
      </w:r>
      <w:r w:rsidRPr="00195EE5">
        <w:rPr>
          <w:lang w:val="fr-CH"/>
        </w:rPr>
        <w:t xml:space="preserve"> des rapports sur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état du climat </w:t>
      </w:r>
      <w:r w:rsidR="007D7E50" w:rsidRPr="00195EE5">
        <w:rPr>
          <w:lang w:val="fr-CH"/>
        </w:rPr>
        <w:t>à l</w:t>
      </w:r>
      <w:r w:rsidR="005D535C">
        <w:rPr>
          <w:lang w:val="fr-CH"/>
        </w:rPr>
        <w:t>’</w:t>
      </w:r>
      <w:r w:rsidR="007D7E50" w:rsidRPr="00195EE5">
        <w:rPr>
          <w:lang w:val="fr-CH"/>
        </w:rPr>
        <w:t>échelle de la Région. Ces rapports sont publiés chaque année</w:t>
      </w:r>
      <w:r w:rsidRPr="00195EE5">
        <w:rPr>
          <w:lang w:val="fr-CH"/>
        </w:rPr>
        <w:t xml:space="preserve"> </w:t>
      </w:r>
      <w:r w:rsidR="007D7E50" w:rsidRPr="00195EE5">
        <w:rPr>
          <w:lang w:val="fr-CH"/>
        </w:rPr>
        <w:t xml:space="preserve">depuis 2019 </w:t>
      </w:r>
      <w:r w:rsidRPr="00195EE5">
        <w:rPr>
          <w:lang w:val="fr-CH"/>
        </w:rPr>
        <w:t>pour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Afrique, </w:t>
      </w:r>
      <w:r w:rsidR="007D7E50" w:rsidRPr="00195EE5">
        <w:rPr>
          <w:lang w:val="fr-CH"/>
        </w:rPr>
        <w:t xml:space="preserve">depuis 2020 pour </w:t>
      </w:r>
      <w:r w:rsidRPr="00195EE5">
        <w:rPr>
          <w:lang w:val="fr-CH"/>
        </w:rPr>
        <w:t>l</w:t>
      </w:r>
      <w:r w:rsidR="005D535C">
        <w:rPr>
          <w:lang w:val="fr-CH"/>
        </w:rPr>
        <w:t>’</w:t>
      </w:r>
      <w:r w:rsidRPr="00195EE5">
        <w:rPr>
          <w:lang w:val="fr-CH"/>
        </w:rPr>
        <w:t>Amérique latine et les Caraïbes,</w:t>
      </w:r>
      <w:r w:rsidR="00195EE5">
        <w:rPr>
          <w:lang w:val="fr-CH"/>
        </w:rPr>
        <w:t xml:space="preserve"> ainsi que</w:t>
      </w:r>
      <w:r w:rsidRPr="00195EE5">
        <w:rPr>
          <w:lang w:val="fr-CH"/>
        </w:rPr>
        <w:t xml:space="preserve"> l</w:t>
      </w:r>
      <w:r w:rsidR="005D535C">
        <w:rPr>
          <w:lang w:val="fr-CH"/>
        </w:rPr>
        <w:t>’</w:t>
      </w:r>
      <w:r w:rsidRPr="00195EE5">
        <w:rPr>
          <w:lang w:val="fr-CH"/>
        </w:rPr>
        <w:t>Asie et le Pacifique Sud-Ouest</w:t>
      </w:r>
      <w:r w:rsidR="00195EE5">
        <w:rPr>
          <w:lang w:val="fr-CH"/>
        </w:rPr>
        <w:t>,</w:t>
      </w:r>
      <w:r w:rsidRPr="00195EE5">
        <w:rPr>
          <w:lang w:val="fr-CH"/>
        </w:rPr>
        <w:t xml:space="preserve"> et </w:t>
      </w:r>
      <w:r w:rsidR="007D7E50" w:rsidRPr="00195EE5">
        <w:rPr>
          <w:lang w:val="fr-CH"/>
        </w:rPr>
        <w:t xml:space="preserve">depuis 2021 </w:t>
      </w:r>
      <w:r w:rsidRPr="00195EE5">
        <w:rPr>
          <w:lang w:val="fr-CH"/>
        </w:rPr>
        <w:t>pour l</w:t>
      </w:r>
      <w:r w:rsidR="005D535C">
        <w:rPr>
          <w:lang w:val="fr-CH"/>
        </w:rPr>
        <w:t>’</w:t>
      </w:r>
      <w:r w:rsidRPr="00195EE5">
        <w:rPr>
          <w:lang w:val="fr-CH"/>
        </w:rPr>
        <w:t>Europe.</w:t>
      </w:r>
    </w:p>
    <w:p w14:paraId="1120E653" w14:textId="518C69DD" w:rsidR="008B4F21" w:rsidRPr="00195EE5" w:rsidRDefault="008B4F21" w:rsidP="003A38C8">
      <w:pPr>
        <w:pStyle w:val="WMOBodyText"/>
        <w:ind w:right="-170"/>
        <w:rPr>
          <w:lang w:val="fr-CH"/>
        </w:rPr>
      </w:pPr>
      <w:r w:rsidRPr="00195EE5">
        <w:rPr>
          <w:lang w:val="fr-CH"/>
        </w:rPr>
        <w:t>L</w:t>
      </w:r>
      <w:r w:rsidR="005D535C">
        <w:rPr>
          <w:lang w:val="fr-CH"/>
        </w:rPr>
        <w:t>’</w:t>
      </w:r>
      <w:r w:rsidR="00DB3F48" w:rsidRPr="00195EE5">
        <w:rPr>
          <w:lang w:val="fr-CH"/>
        </w:rPr>
        <w:t>É</w:t>
      </w:r>
      <w:r w:rsidRPr="00195EE5">
        <w:rPr>
          <w:lang w:val="fr-CH"/>
        </w:rPr>
        <w:t>quipe d</w:t>
      </w:r>
      <w:r w:rsidR="005D535C">
        <w:rPr>
          <w:lang w:val="fr-CH"/>
        </w:rPr>
        <w:t>’</w:t>
      </w:r>
      <w:r w:rsidRPr="00195EE5">
        <w:rPr>
          <w:lang w:val="fr-CH"/>
        </w:rPr>
        <w:t>experts pour la surveillance et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évaluation du climat </w:t>
      </w:r>
      <w:r w:rsidR="00DB3F48" w:rsidRPr="00195EE5">
        <w:rPr>
          <w:lang w:val="fr-CH"/>
        </w:rPr>
        <w:t xml:space="preserve">relevant </w:t>
      </w:r>
      <w:r w:rsidRPr="00195EE5">
        <w:rPr>
          <w:lang w:val="fr-CH"/>
        </w:rPr>
        <w:t>du Comité permanent des services climatologiques de la Commission des services et applications météorologiques, climatologiques, hydrologiques, maritimes et environnementaux (SERCOM) a organisé une première réunion internationale spéciale (</w:t>
      </w:r>
      <w:r w:rsidR="00DB3F48" w:rsidRPr="00195EE5">
        <w:rPr>
          <w:lang w:val="fr-CH"/>
        </w:rPr>
        <w:t xml:space="preserve">du </w:t>
      </w:r>
      <w:r w:rsidRPr="00195EE5">
        <w:rPr>
          <w:lang w:val="fr-CH"/>
        </w:rPr>
        <w:t>8</w:t>
      </w:r>
      <w:r w:rsidR="00DB3F48" w:rsidRPr="00195EE5">
        <w:rPr>
          <w:lang w:val="fr-CH"/>
        </w:rPr>
        <w:t xml:space="preserve"> au </w:t>
      </w:r>
      <w:r w:rsidRPr="00195EE5">
        <w:rPr>
          <w:lang w:val="fr-CH"/>
        </w:rPr>
        <w:t>10</w:t>
      </w:r>
      <w:r w:rsidR="00DB3F48" w:rsidRPr="00195EE5">
        <w:rPr>
          <w:lang w:val="fr-CH"/>
        </w:rPr>
        <w:t> </w:t>
      </w:r>
      <w:r w:rsidRPr="00195EE5">
        <w:rPr>
          <w:lang w:val="fr-CH"/>
        </w:rPr>
        <w:t>novembre</w:t>
      </w:r>
      <w:r w:rsidR="00DB3F48" w:rsidRPr="00195EE5">
        <w:rPr>
          <w:lang w:val="fr-CH"/>
        </w:rPr>
        <w:t> </w:t>
      </w:r>
      <w:r w:rsidRPr="00195EE5">
        <w:rPr>
          <w:lang w:val="fr-CH"/>
        </w:rPr>
        <w:t xml:space="preserve">2023) </w:t>
      </w:r>
      <w:r w:rsidR="00DB3F48" w:rsidRPr="00195EE5">
        <w:rPr>
          <w:lang w:val="fr-CH"/>
        </w:rPr>
        <w:t xml:space="preserve">ayant pour thème </w:t>
      </w:r>
      <w:r w:rsidRPr="00195EE5">
        <w:rPr>
          <w:lang w:val="fr-CH"/>
        </w:rPr>
        <w:t>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évolution potentielle </w:t>
      </w:r>
      <w:r w:rsidR="00DB3F48" w:rsidRPr="00195EE5">
        <w:rPr>
          <w:lang w:val="fr-CH"/>
        </w:rPr>
        <w:t xml:space="preserve">des </w:t>
      </w:r>
      <w:r w:rsidRPr="00195EE5">
        <w:rPr>
          <w:lang w:val="fr-CH"/>
        </w:rPr>
        <w:t>rapport</w:t>
      </w:r>
      <w:r w:rsidR="00DB3F48" w:rsidRPr="00195EE5">
        <w:rPr>
          <w:lang w:val="fr-CH"/>
        </w:rPr>
        <w:t>s</w:t>
      </w:r>
      <w:r w:rsidRPr="00195EE5">
        <w:rPr>
          <w:lang w:val="fr-CH"/>
        </w:rPr>
        <w:t xml:space="preserve"> sur l</w:t>
      </w:r>
      <w:r w:rsidR="005D535C">
        <w:rPr>
          <w:lang w:val="fr-CH"/>
        </w:rPr>
        <w:t>’</w:t>
      </w:r>
      <w:r w:rsidRPr="00195EE5">
        <w:rPr>
          <w:lang w:val="fr-CH"/>
        </w:rPr>
        <w:t>état du climat. Les participants à la réunion ont soulevé des questions fondamentales, telles que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intérêt de maintenir le format actuel de rapports </w:t>
      </w:r>
      <w:r w:rsidR="00DB3F48" w:rsidRPr="00195EE5">
        <w:rPr>
          <w:lang w:val="fr-CH"/>
        </w:rPr>
        <w:t>à l</w:t>
      </w:r>
      <w:r w:rsidR="005D535C">
        <w:rPr>
          <w:lang w:val="fr-CH"/>
        </w:rPr>
        <w:t>’</w:t>
      </w:r>
      <w:r w:rsidR="00DB3F48" w:rsidRPr="00195EE5">
        <w:rPr>
          <w:lang w:val="fr-CH"/>
        </w:rPr>
        <w:t>échelle mondiale et régionale</w:t>
      </w:r>
      <w:r w:rsidRPr="00195EE5">
        <w:rPr>
          <w:lang w:val="fr-CH"/>
        </w:rPr>
        <w:t>. Ils ont également discuté des possibilités d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orientations futures et de la nécessité de </w:t>
      </w:r>
      <w:r w:rsidR="00DB3F48" w:rsidRPr="00195EE5">
        <w:rPr>
          <w:lang w:val="fr-CH"/>
        </w:rPr>
        <w:t xml:space="preserve">moderniser </w:t>
      </w:r>
      <w:r w:rsidRPr="00195EE5">
        <w:rPr>
          <w:lang w:val="fr-CH"/>
        </w:rPr>
        <w:t>le</w:t>
      </w:r>
      <w:r w:rsidR="00DB3F48" w:rsidRPr="00195EE5">
        <w:rPr>
          <w:lang w:val="fr-CH"/>
        </w:rPr>
        <w:t>s</w:t>
      </w:r>
      <w:r w:rsidRPr="00195EE5">
        <w:rPr>
          <w:lang w:val="fr-CH"/>
        </w:rPr>
        <w:t xml:space="preserve"> rapport</w:t>
      </w:r>
      <w:r w:rsidR="00DB3F48" w:rsidRPr="00195EE5">
        <w:rPr>
          <w:lang w:val="fr-CH"/>
        </w:rPr>
        <w:t>s</w:t>
      </w:r>
      <w:r w:rsidRPr="00195EE5">
        <w:rPr>
          <w:lang w:val="fr-CH"/>
        </w:rPr>
        <w:t xml:space="preserve"> sur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état du climat </w:t>
      </w:r>
      <w:r w:rsidR="00DB3F48" w:rsidRPr="00195EE5">
        <w:rPr>
          <w:lang w:val="fr-CH"/>
        </w:rPr>
        <w:t>mondial et régional</w:t>
      </w:r>
      <w:r w:rsidRPr="00195EE5">
        <w:rPr>
          <w:lang w:val="fr-CH"/>
        </w:rPr>
        <w:t xml:space="preserve">. </w:t>
      </w:r>
      <w:r w:rsidR="00DB3F48" w:rsidRPr="00195EE5">
        <w:rPr>
          <w:lang w:val="fr-CH"/>
        </w:rPr>
        <w:t xml:space="preserve">En outre, ils ont </w:t>
      </w:r>
      <w:r w:rsidRPr="00195EE5">
        <w:rPr>
          <w:lang w:val="fr-CH"/>
        </w:rPr>
        <w:t>souligné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importance de transmettre des messages cohérents et significatifs à la COP de la CCNUCC. Alors que le réchauffement à long terme de la planète se poursuit, </w:t>
      </w:r>
      <w:r w:rsidR="00DB3F48" w:rsidRPr="00195EE5">
        <w:rPr>
          <w:lang w:val="fr-CH"/>
        </w:rPr>
        <w:t xml:space="preserve">il est de plus en plus difficile de surveiller </w:t>
      </w:r>
      <w:r w:rsidRPr="00195EE5">
        <w:rPr>
          <w:lang w:val="fr-CH"/>
        </w:rPr>
        <w:t>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évolution </w:t>
      </w:r>
      <w:r w:rsidR="00DB3F48" w:rsidRPr="00195EE5">
        <w:rPr>
          <w:lang w:val="fr-CH"/>
        </w:rPr>
        <w:t xml:space="preserve">à long terme </w:t>
      </w:r>
      <w:r w:rsidRPr="00195EE5">
        <w:rPr>
          <w:lang w:val="fr-CH"/>
        </w:rPr>
        <w:t>de la température moyenne à la surface du globe par rapport aux objectifs de 1,5 °C et de 2 °C fixés dans l</w:t>
      </w:r>
      <w:r w:rsidR="005D535C">
        <w:rPr>
          <w:lang w:val="fr-CH"/>
        </w:rPr>
        <w:t>’</w:t>
      </w:r>
      <w:r w:rsidR="00DB3F48" w:rsidRPr="00195EE5">
        <w:rPr>
          <w:lang w:val="fr-CH"/>
        </w:rPr>
        <w:t>A</w:t>
      </w:r>
      <w:r w:rsidRPr="00195EE5">
        <w:rPr>
          <w:lang w:val="fr-CH"/>
        </w:rPr>
        <w:t>ccord de Paris et de communiquer à ce sujet. Le rapport provisoire sur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état du climat </w:t>
      </w:r>
      <w:r w:rsidR="00DB3F48" w:rsidRPr="00195EE5">
        <w:rPr>
          <w:lang w:val="fr-CH"/>
        </w:rPr>
        <w:t xml:space="preserve">pourrait constituer une solution adaptée </w:t>
      </w:r>
      <w:r w:rsidR="00195EE5" w:rsidRPr="00195EE5">
        <w:rPr>
          <w:lang w:val="fr-CH"/>
        </w:rPr>
        <w:t xml:space="preserve">pour résoudre </w:t>
      </w:r>
      <w:r w:rsidRPr="00195EE5">
        <w:rPr>
          <w:lang w:val="fr-CH"/>
        </w:rPr>
        <w:t>cette difficulté, grâce aux experts de la SERCOM qui travaillent avec les membres du Groupe d</w:t>
      </w:r>
      <w:r w:rsidR="005D535C">
        <w:rPr>
          <w:lang w:val="fr-CH"/>
        </w:rPr>
        <w:t>’</w:t>
      </w:r>
      <w:r w:rsidRPr="00195EE5">
        <w:rPr>
          <w:lang w:val="fr-CH"/>
        </w:rPr>
        <w:t>experts intergouvernemental sur l</w:t>
      </w:r>
      <w:r w:rsidR="005D535C">
        <w:rPr>
          <w:lang w:val="fr-CH"/>
        </w:rPr>
        <w:t>’</w:t>
      </w:r>
      <w:r w:rsidRPr="00195EE5">
        <w:rPr>
          <w:lang w:val="fr-CH"/>
        </w:rPr>
        <w:t>évolution du climat (GIEC).</w:t>
      </w:r>
    </w:p>
    <w:p w14:paraId="3630C4F6" w14:textId="77777777" w:rsidR="008B4F21" w:rsidRPr="00195EE5" w:rsidRDefault="008B4F21" w:rsidP="008B4F21">
      <w:pPr>
        <w:pStyle w:val="WMOBodyText"/>
        <w:rPr>
          <w:b/>
          <w:bCs/>
          <w:lang w:val="fr-CH"/>
        </w:rPr>
      </w:pPr>
      <w:r w:rsidRPr="00195EE5">
        <w:rPr>
          <w:b/>
          <w:bCs/>
          <w:lang w:val="fr-CH"/>
        </w:rPr>
        <w:t>Mesure attendue</w:t>
      </w:r>
    </w:p>
    <w:p w14:paraId="0800DDCC" w14:textId="536D3DD1" w:rsidR="008B4F21" w:rsidRPr="00195EE5" w:rsidRDefault="008B4F21" w:rsidP="008B4F21">
      <w:pPr>
        <w:pStyle w:val="WMOBodyText"/>
        <w:rPr>
          <w:lang w:val="fr-CH"/>
        </w:rPr>
      </w:pPr>
      <w:r w:rsidRPr="00195EE5">
        <w:rPr>
          <w:lang w:val="fr-CH"/>
        </w:rPr>
        <w:t xml:space="preserve">Compte tenu de ce qui précède, la Commission est invitée à adopter le </w:t>
      </w:r>
      <w:hyperlink w:anchor="_DRAFT_RESOLUTION_4.2/1_(EC-64)_-_PU" w:history="1">
        <w:r w:rsidRPr="00195EE5">
          <w:rPr>
            <w:rStyle w:val="Hyperlink"/>
            <w:lang w:val="fr-CH"/>
          </w:rPr>
          <w:t xml:space="preserve">projet de recommandation </w:t>
        </w:r>
        <w:r w:rsidR="007F707C">
          <w:rPr>
            <w:rStyle w:val="Hyperlink"/>
            <w:lang w:val="fr-CH"/>
          </w:rPr>
          <w:t>4.4(2)</w:t>
        </w:r>
        <w:r w:rsidRPr="00195EE5">
          <w:rPr>
            <w:rStyle w:val="Hyperlink"/>
            <w:lang w:val="fr-CH"/>
          </w:rPr>
          <w:t>/1 (SERCOM-3)</w:t>
        </w:r>
      </w:hyperlink>
      <w:r w:rsidRPr="00195EE5">
        <w:rPr>
          <w:lang w:val="fr-CH"/>
        </w:rPr>
        <w:t xml:space="preserve">. </w:t>
      </w:r>
    </w:p>
    <w:p w14:paraId="24499914" w14:textId="77777777" w:rsidR="000731AA" w:rsidRPr="00195EE5" w:rsidRDefault="000731AA" w:rsidP="000731AA">
      <w:pPr>
        <w:tabs>
          <w:tab w:val="clear" w:pos="1134"/>
        </w:tabs>
        <w:rPr>
          <w:rFonts w:eastAsia="Verdana" w:cs="Verdana"/>
          <w:caps/>
          <w:kern w:val="32"/>
          <w:lang w:val="fr-CH" w:eastAsia="zh-TW"/>
        </w:rPr>
      </w:pPr>
      <w:r w:rsidRPr="00195EE5">
        <w:rPr>
          <w:lang w:val="fr-CH"/>
        </w:rPr>
        <w:br w:type="page"/>
      </w:r>
    </w:p>
    <w:p w14:paraId="3682500F" w14:textId="77777777" w:rsidR="0037222D" w:rsidRPr="00195EE5" w:rsidRDefault="0037222D" w:rsidP="0037222D">
      <w:pPr>
        <w:pStyle w:val="Heading1"/>
        <w:pageBreakBefore/>
        <w:rPr>
          <w:sz w:val="22"/>
          <w:szCs w:val="22"/>
          <w:lang w:val="fr-CH"/>
        </w:rPr>
      </w:pPr>
      <w:bookmarkStart w:id="2" w:name="_Annex_to_Draft_2"/>
      <w:bookmarkStart w:id="3" w:name="_Annex_to_Draft"/>
      <w:bookmarkEnd w:id="2"/>
      <w:bookmarkEnd w:id="3"/>
      <w:r w:rsidRPr="00195EE5">
        <w:rPr>
          <w:lang w:val="fr-CH"/>
        </w:rPr>
        <w:lastRenderedPageBreak/>
        <w:t>PROJET DE RECOMMANDATION</w:t>
      </w:r>
    </w:p>
    <w:p w14:paraId="40462757" w14:textId="39E4E0A2" w:rsidR="0037222D" w:rsidRPr="00195EE5" w:rsidRDefault="0037222D" w:rsidP="0037222D">
      <w:pPr>
        <w:pStyle w:val="Heading2"/>
        <w:rPr>
          <w:lang w:val="fr-CH"/>
        </w:rPr>
      </w:pPr>
      <w:bookmarkStart w:id="4" w:name="_DRAFT_RESOLUTION_4.2/1_(EC-64)_-_PU"/>
      <w:bookmarkStart w:id="5" w:name="_DRAFT_RESOLUTION_X.X/1"/>
      <w:bookmarkStart w:id="6" w:name="_Draft_Recommendation_5.4(3)/1"/>
      <w:bookmarkStart w:id="7" w:name="_Projet_de_recommandation"/>
      <w:bookmarkStart w:id="8" w:name="_Toc319327010"/>
      <w:bookmarkStart w:id="9" w:name="Text6"/>
      <w:bookmarkEnd w:id="4"/>
      <w:bookmarkEnd w:id="5"/>
      <w:bookmarkEnd w:id="6"/>
      <w:bookmarkEnd w:id="7"/>
      <w:r w:rsidRPr="00195EE5">
        <w:rPr>
          <w:lang w:val="fr-CH"/>
        </w:rPr>
        <w:t xml:space="preserve">Projet de recommandation </w:t>
      </w:r>
      <w:r w:rsidR="00AA72F6">
        <w:rPr>
          <w:lang w:val="fr-CH"/>
        </w:rPr>
        <w:t>4.4(2)</w:t>
      </w:r>
      <w:r w:rsidRPr="00195EE5">
        <w:rPr>
          <w:lang w:val="fr-CH"/>
        </w:rPr>
        <w:t>/1 (SERCOM-3)</w:t>
      </w:r>
    </w:p>
    <w:p w14:paraId="5E6010EA" w14:textId="6F65B3C2" w:rsidR="00FD6E99" w:rsidRPr="00195EE5" w:rsidRDefault="00DB3F48" w:rsidP="008F7A8F">
      <w:pPr>
        <w:pStyle w:val="Heading3"/>
        <w:rPr>
          <w:lang w:val="fr-CH"/>
        </w:rPr>
      </w:pPr>
      <w:bookmarkStart w:id="10" w:name="_Title_of_the"/>
      <w:bookmarkEnd w:id="8"/>
      <w:bookmarkEnd w:id="9"/>
      <w:bookmarkEnd w:id="10"/>
      <w:r w:rsidRPr="00195EE5">
        <w:rPr>
          <w:lang w:val="fr-CH"/>
        </w:rPr>
        <w:t>Feuille de route relative aux rapports sur l</w:t>
      </w:r>
      <w:r w:rsidR="005D535C">
        <w:rPr>
          <w:lang w:val="fr-CH"/>
        </w:rPr>
        <w:t>’</w:t>
      </w:r>
      <w:r w:rsidRPr="00195EE5">
        <w:rPr>
          <w:lang w:val="fr-CH"/>
        </w:rPr>
        <w:t>état du climat à l</w:t>
      </w:r>
      <w:r w:rsidR="005D535C">
        <w:rPr>
          <w:lang w:val="fr-CH"/>
        </w:rPr>
        <w:t>’</w:t>
      </w:r>
      <w:r w:rsidRPr="00195EE5">
        <w:rPr>
          <w:lang w:val="fr-CH"/>
        </w:rPr>
        <w:t>échelle mondiale et</w:t>
      </w:r>
      <w:r w:rsidR="008F7A8F">
        <w:rPr>
          <w:lang w:val="en-CH"/>
        </w:rPr>
        <w:t> </w:t>
      </w:r>
      <w:r w:rsidRPr="00195EE5">
        <w:rPr>
          <w:lang w:val="fr-CH"/>
        </w:rPr>
        <w:t>régionale</w:t>
      </w:r>
    </w:p>
    <w:p w14:paraId="2675D8D2" w14:textId="08ECE8AA" w:rsidR="00E7108E" w:rsidRPr="00195EE5" w:rsidRDefault="00E7108E" w:rsidP="00E7108E">
      <w:pPr>
        <w:pStyle w:val="WMOBodyText"/>
        <w:rPr>
          <w:bCs/>
          <w:lang w:val="fr-CH"/>
        </w:rPr>
      </w:pPr>
      <w:r w:rsidRPr="00195EE5">
        <w:rPr>
          <w:lang w:val="fr-CH"/>
        </w:rPr>
        <w:t xml:space="preserve">LA COMMISSION DES SERVICES ET APPLICATIONS MÉTÉOROLOGIQUES, CLIMATOLOGIQUES, HYDROLOGIQUES, MARITIMES ET ENVIRONNEMENTAUX, </w:t>
      </w:r>
    </w:p>
    <w:p w14:paraId="120BB4C7" w14:textId="29D45111" w:rsidR="00F94F4F" w:rsidRPr="00195EE5" w:rsidRDefault="0037222D" w:rsidP="00F94F4F">
      <w:pPr>
        <w:pStyle w:val="WMOBodyText"/>
        <w:rPr>
          <w:lang w:val="fr-CH"/>
        </w:rPr>
      </w:pPr>
      <w:r w:rsidRPr="00195EE5">
        <w:rPr>
          <w:b/>
          <w:bCs/>
          <w:lang w:val="fr-CH"/>
        </w:rPr>
        <w:t>Rappelant</w:t>
      </w:r>
      <w:r w:rsidRPr="00195EE5">
        <w:rPr>
          <w:lang w:val="fr-CH"/>
        </w:rPr>
        <w:t xml:space="preserve"> la </w:t>
      </w:r>
      <w:hyperlink r:id="rId12" w:anchor="page=13&amp;viewer=picture&amp;o=bookmark&amp;n=0&amp;q=" w:history="1">
        <w:r w:rsidRPr="00195EE5">
          <w:rPr>
            <w:rStyle w:val="Hyperlink"/>
            <w:lang w:val="fr-CH"/>
          </w:rPr>
          <w:t>résolution 1 (Cg-18)</w:t>
        </w:r>
      </w:hyperlink>
      <w:r w:rsidRPr="00195EE5">
        <w:rPr>
          <w:lang w:val="fr-CH"/>
        </w:rPr>
        <w:t xml:space="preserve"> – Plan stratégique de l</w:t>
      </w:r>
      <w:r w:rsidR="005D535C">
        <w:rPr>
          <w:lang w:val="fr-CH"/>
        </w:rPr>
        <w:t>’</w:t>
      </w:r>
      <w:r w:rsidRPr="00195EE5">
        <w:rPr>
          <w:lang w:val="fr-CH"/>
        </w:rPr>
        <w:t>OMM,</w:t>
      </w:r>
      <w:bookmarkStart w:id="11" w:name="_Hlk151023679"/>
    </w:p>
    <w:bookmarkEnd w:id="11"/>
    <w:p w14:paraId="6622EA84" w14:textId="41FF9A99" w:rsidR="007348F5" w:rsidRPr="002746DE" w:rsidRDefault="007348F5" w:rsidP="007348F5">
      <w:pPr>
        <w:pStyle w:val="WMOBodyText"/>
        <w:rPr>
          <w:lang w:val="fr-CH"/>
        </w:rPr>
      </w:pPr>
      <w:r w:rsidRPr="002746DE">
        <w:rPr>
          <w:b/>
          <w:bCs/>
          <w:lang w:val="fr-CH"/>
        </w:rPr>
        <w:t>Notant</w:t>
      </w:r>
      <w:r w:rsidRPr="002746DE">
        <w:rPr>
          <w:lang w:val="fr-CH"/>
        </w:rPr>
        <w:t xml:space="preserve"> l</w:t>
      </w:r>
      <w:r w:rsidR="005D535C">
        <w:rPr>
          <w:lang w:val="fr-CH"/>
        </w:rPr>
        <w:t>’</w:t>
      </w:r>
      <w:r w:rsidRPr="002746DE">
        <w:rPr>
          <w:lang w:val="fr-CH"/>
        </w:rPr>
        <w:t xml:space="preserve">importance </w:t>
      </w:r>
      <w:r w:rsidR="00DB3F48" w:rsidRPr="002746DE">
        <w:rPr>
          <w:lang w:val="fr-CH"/>
        </w:rPr>
        <w:t xml:space="preserve">de la publication des rapports annuels </w:t>
      </w:r>
      <w:r w:rsidRPr="002746DE">
        <w:rPr>
          <w:lang w:val="fr-CH"/>
        </w:rPr>
        <w:t>de l</w:t>
      </w:r>
      <w:r w:rsidR="005D535C">
        <w:rPr>
          <w:lang w:val="fr-CH"/>
        </w:rPr>
        <w:t>’</w:t>
      </w:r>
      <w:r w:rsidRPr="002746DE">
        <w:rPr>
          <w:lang w:val="fr-CH"/>
        </w:rPr>
        <w:t>OMM sur l</w:t>
      </w:r>
      <w:r w:rsidR="005D535C">
        <w:rPr>
          <w:lang w:val="fr-CH"/>
        </w:rPr>
        <w:t>’</w:t>
      </w:r>
      <w:r w:rsidRPr="002746DE">
        <w:rPr>
          <w:lang w:val="fr-CH"/>
        </w:rPr>
        <w:t>état du climat mondial et régional et du rapport provisoire sur l</w:t>
      </w:r>
      <w:r w:rsidR="005D535C">
        <w:rPr>
          <w:lang w:val="fr-CH"/>
        </w:rPr>
        <w:t>’</w:t>
      </w:r>
      <w:r w:rsidRPr="002746DE">
        <w:rPr>
          <w:lang w:val="fr-CH"/>
        </w:rPr>
        <w:t>état du climat mondial, ce dernier étant devenu une contribution importante de l</w:t>
      </w:r>
      <w:r w:rsidR="005D535C">
        <w:rPr>
          <w:lang w:val="fr-CH"/>
        </w:rPr>
        <w:t>’</w:t>
      </w:r>
      <w:r w:rsidRPr="002746DE">
        <w:rPr>
          <w:lang w:val="fr-CH"/>
        </w:rPr>
        <w:t xml:space="preserve">OMM pour informer les </w:t>
      </w:r>
      <w:r w:rsidR="00DB3F48" w:rsidRPr="002746DE">
        <w:rPr>
          <w:lang w:val="fr-CH"/>
        </w:rPr>
        <w:t xml:space="preserve">membres de </w:t>
      </w:r>
      <w:r w:rsidRPr="002746DE">
        <w:rPr>
          <w:lang w:val="fr-CH"/>
        </w:rPr>
        <w:t>la Conférence des Parties à la Convention-cadre des Nations Unies sur les changements climatiques (CCNUCC)</w:t>
      </w:r>
      <w:r w:rsidR="001043AC" w:rsidRPr="002746DE">
        <w:rPr>
          <w:lang w:val="fr-CH"/>
        </w:rPr>
        <w:t xml:space="preserve"> et d</w:t>
      </w:r>
      <w:r w:rsidR="005D535C">
        <w:rPr>
          <w:lang w:val="fr-CH"/>
        </w:rPr>
        <w:t>’</w:t>
      </w:r>
      <w:r w:rsidR="001043AC" w:rsidRPr="002746DE">
        <w:rPr>
          <w:lang w:val="fr-CH"/>
        </w:rPr>
        <w:t xml:space="preserve">autres </w:t>
      </w:r>
      <w:r w:rsidR="002746DE">
        <w:rPr>
          <w:lang w:val="fr-CH"/>
        </w:rPr>
        <w:t>instances</w:t>
      </w:r>
      <w:r w:rsidR="001043AC" w:rsidRPr="002746DE">
        <w:rPr>
          <w:lang w:val="fr-CH"/>
        </w:rPr>
        <w:t xml:space="preserve"> </w:t>
      </w:r>
      <w:r w:rsidRPr="002746DE">
        <w:rPr>
          <w:lang w:val="fr-CH"/>
        </w:rPr>
        <w:t>politiques aux niveaux mondial et régional,</w:t>
      </w:r>
    </w:p>
    <w:p w14:paraId="648BBAF1" w14:textId="7225F422" w:rsidR="007348F5" w:rsidRPr="002746DE" w:rsidRDefault="007348F5" w:rsidP="007348F5">
      <w:pPr>
        <w:pStyle w:val="WMOBodyText"/>
        <w:rPr>
          <w:lang w:val="fr-CH"/>
        </w:rPr>
      </w:pPr>
      <w:bookmarkStart w:id="12" w:name="_Hlk151451054"/>
      <w:r w:rsidRPr="002746DE">
        <w:rPr>
          <w:b/>
          <w:bCs/>
          <w:lang w:val="fr-CH"/>
        </w:rPr>
        <w:t>Notant en outre</w:t>
      </w:r>
      <w:r w:rsidRPr="002746DE">
        <w:rPr>
          <w:lang w:val="fr-CH"/>
        </w:rPr>
        <w:t xml:space="preserve"> la </w:t>
      </w:r>
      <w:r w:rsidR="001043AC" w:rsidRPr="002746DE">
        <w:rPr>
          <w:lang w:val="fr-CH"/>
        </w:rPr>
        <w:t xml:space="preserve">publication </w:t>
      </w:r>
      <w:r w:rsidRPr="002746DE">
        <w:rPr>
          <w:lang w:val="fr-CH"/>
        </w:rPr>
        <w:t>d</w:t>
      </w:r>
      <w:r w:rsidR="005D535C">
        <w:rPr>
          <w:lang w:val="fr-CH"/>
        </w:rPr>
        <w:t>’</w:t>
      </w:r>
      <w:r w:rsidRPr="002746DE">
        <w:rPr>
          <w:lang w:val="fr-CH"/>
        </w:rPr>
        <w:t>autres rapports importants</w:t>
      </w:r>
      <w:r w:rsidR="001043AC" w:rsidRPr="002746DE">
        <w:rPr>
          <w:lang w:val="fr-CH"/>
        </w:rPr>
        <w:t>,</w:t>
      </w:r>
      <w:r w:rsidRPr="002746DE">
        <w:rPr>
          <w:lang w:val="fr-CH"/>
        </w:rPr>
        <w:t xml:space="preserve"> tels que le rapport </w:t>
      </w:r>
      <w:r w:rsidRPr="002746DE">
        <w:rPr>
          <w:i/>
          <w:iCs/>
          <w:lang w:val="fr-CH"/>
        </w:rPr>
        <w:t>Unis autour de la science</w:t>
      </w:r>
      <w:r w:rsidRPr="002746DE">
        <w:rPr>
          <w:lang w:val="fr-CH"/>
        </w:rPr>
        <w:t>, qui paraît généralement à l</w:t>
      </w:r>
      <w:r w:rsidR="005D535C">
        <w:rPr>
          <w:lang w:val="fr-CH"/>
        </w:rPr>
        <w:t>’</w:t>
      </w:r>
      <w:r w:rsidRPr="002746DE">
        <w:rPr>
          <w:lang w:val="fr-CH"/>
        </w:rPr>
        <w:t>occasion de l</w:t>
      </w:r>
      <w:r w:rsidR="005D535C">
        <w:rPr>
          <w:lang w:val="fr-CH"/>
        </w:rPr>
        <w:t>’</w:t>
      </w:r>
      <w:r w:rsidRPr="002746DE">
        <w:rPr>
          <w:lang w:val="fr-CH"/>
        </w:rPr>
        <w:t>Assemblée générale des Nations Unies, vers le mois de septembre de chaque année,</w:t>
      </w:r>
    </w:p>
    <w:p w14:paraId="5F8FAC74" w14:textId="240B9508" w:rsidR="007348F5" w:rsidRPr="002746DE" w:rsidRDefault="007348F5" w:rsidP="007348F5">
      <w:pPr>
        <w:pStyle w:val="WMOBodyText"/>
        <w:rPr>
          <w:lang w:val="fr-CH"/>
        </w:rPr>
      </w:pPr>
      <w:r w:rsidRPr="002746DE">
        <w:rPr>
          <w:b/>
          <w:bCs/>
          <w:lang w:val="fr-CH"/>
        </w:rPr>
        <w:t>Se félicitant</w:t>
      </w:r>
      <w:r w:rsidRPr="002746DE">
        <w:rPr>
          <w:lang w:val="fr-CH"/>
        </w:rPr>
        <w:t xml:space="preserve"> des progrès réalisés </w:t>
      </w:r>
      <w:r w:rsidR="001043AC" w:rsidRPr="002746DE">
        <w:rPr>
          <w:lang w:val="fr-CH"/>
        </w:rPr>
        <w:t xml:space="preserve">au niveau des </w:t>
      </w:r>
      <w:r w:rsidRPr="002746DE">
        <w:rPr>
          <w:lang w:val="fr-CH"/>
        </w:rPr>
        <w:t>méthodes d</w:t>
      </w:r>
      <w:r w:rsidR="005D535C">
        <w:rPr>
          <w:lang w:val="fr-CH"/>
        </w:rPr>
        <w:t>’</w:t>
      </w:r>
      <w:r w:rsidRPr="002746DE">
        <w:rPr>
          <w:lang w:val="fr-CH"/>
        </w:rPr>
        <w:t xml:space="preserve">attribution des phénomènes extrêmes à des facteurs clés, </w:t>
      </w:r>
      <w:r w:rsidR="001043AC" w:rsidRPr="002746DE">
        <w:rPr>
          <w:lang w:val="fr-CH"/>
        </w:rPr>
        <w:t xml:space="preserve">comme le phénomène </w:t>
      </w:r>
      <w:r w:rsidRPr="002746DE">
        <w:rPr>
          <w:lang w:val="fr-CH"/>
        </w:rPr>
        <w:t>El Niño</w:t>
      </w:r>
      <w:r w:rsidR="001043AC" w:rsidRPr="002746DE">
        <w:rPr>
          <w:lang w:val="fr-CH"/>
        </w:rPr>
        <w:t>-oscillation australe</w:t>
      </w:r>
      <w:r w:rsidRPr="002746DE">
        <w:rPr>
          <w:lang w:val="fr-CH"/>
        </w:rPr>
        <w:t xml:space="preserve"> (ENSO) et </w:t>
      </w:r>
      <w:r w:rsidR="001043AC" w:rsidRPr="002746DE">
        <w:rPr>
          <w:lang w:val="fr-CH"/>
        </w:rPr>
        <w:t>autres phénomènes cycliques</w:t>
      </w:r>
      <w:r w:rsidRPr="002746DE">
        <w:rPr>
          <w:lang w:val="fr-CH"/>
        </w:rPr>
        <w:t>, ainsi qu</w:t>
      </w:r>
      <w:r w:rsidR="005D535C">
        <w:rPr>
          <w:lang w:val="fr-CH"/>
        </w:rPr>
        <w:t>’</w:t>
      </w:r>
      <w:r w:rsidRPr="002746DE">
        <w:rPr>
          <w:lang w:val="fr-CH"/>
        </w:rPr>
        <w:t>au changement climatique,</w:t>
      </w:r>
    </w:p>
    <w:p w14:paraId="25D7D67A" w14:textId="08E5B86B" w:rsidR="007348F5" w:rsidRPr="002746DE" w:rsidRDefault="007348F5" w:rsidP="007348F5">
      <w:pPr>
        <w:pStyle w:val="WMOBodyText"/>
        <w:rPr>
          <w:lang w:val="fr-CH"/>
        </w:rPr>
      </w:pPr>
      <w:r w:rsidRPr="002746DE">
        <w:rPr>
          <w:b/>
          <w:bCs/>
          <w:lang w:val="fr-CH"/>
        </w:rPr>
        <w:t>Notant</w:t>
      </w:r>
      <w:r w:rsidRPr="002746DE">
        <w:rPr>
          <w:lang w:val="fr-CH"/>
        </w:rPr>
        <w:t xml:space="preserve"> </w:t>
      </w:r>
      <w:r w:rsidRPr="002746DE">
        <w:rPr>
          <w:b/>
          <w:bCs/>
          <w:lang w:val="fr-CH"/>
        </w:rPr>
        <w:t>avec intérêt</w:t>
      </w:r>
      <w:r w:rsidRPr="002746DE">
        <w:rPr>
          <w:lang w:val="fr-CH"/>
        </w:rPr>
        <w:t xml:space="preserve"> les efforts de plusieurs groupes de recherche pour </w:t>
      </w:r>
      <w:r w:rsidR="001043AC" w:rsidRPr="002746DE">
        <w:rPr>
          <w:lang w:val="fr-CH"/>
        </w:rPr>
        <w:t xml:space="preserve">surveiller la progression </w:t>
      </w:r>
      <w:r w:rsidRPr="002746DE">
        <w:rPr>
          <w:lang w:val="fr-CH"/>
        </w:rPr>
        <w:t>des températures multidécennales vers les seuils critiques fixés dans l</w:t>
      </w:r>
      <w:r w:rsidR="005D535C">
        <w:rPr>
          <w:lang w:val="fr-CH"/>
        </w:rPr>
        <w:t>’</w:t>
      </w:r>
      <w:r w:rsidRPr="002746DE">
        <w:rPr>
          <w:lang w:val="fr-CH"/>
        </w:rPr>
        <w:t>Accord de Paris, à savoir 1,5</w:t>
      </w:r>
      <w:r w:rsidR="001043AC" w:rsidRPr="002746DE">
        <w:rPr>
          <w:lang w:val="fr-CH"/>
        </w:rPr>
        <w:t> </w:t>
      </w:r>
      <w:r w:rsidRPr="002746DE">
        <w:rPr>
          <w:lang w:val="fr-CH"/>
        </w:rPr>
        <w:t>°C et 2</w:t>
      </w:r>
      <w:r w:rsidR="001043AC" w:rsidRPr="002746DE">
        <w:rPr>
          <w:lang w:val="fr-CH"/>
        </w:rPr>
        <w:t> </w:t>
      </w:r>
      <w:r w:rsidRPr="002746DE">
        <w:rPr>
          <w:lang w:val="fr-CH"/>
        </w:rPr>
        <w:t>°C au-dessus de la moyenne préindustrielle,</w:t>
      </w:r>
    </w:p>
    <w:bookmarkEnd w:id="12"/>
    <w:p w14:paraId="644BD538" w14:textId="4628FA11" w:rsidR="007348F5" w:rsidRPr="002746DE" w:rsidRDefault="007348F5" w:rsidP="007348F5">
      <w:pPr>
        <w:pStyle w:val="WMOBodyText"/>
        <w:rPr>
          <w:lang w:val="fr-CH"/>
        </w:rPr>
      </w:pPr>
      <w:r w:rsidRPr="002746DE">
        <w:rPr>
          <w:b/>
          <w:bCs/>
          <w:lang w:val="fr-CH"/>
        </w:rPr>
        <w:t xml:space="preserve">Ayant </w:t>
      </w:r>
      <w:r w:rsidR="001043AC" w:rsidRPr="002746DE">
        <w:rPr>
          <w:b/>
          <w:bCs/>
          <w:lang w:val="fr-CH"/>
        </w:rPr>
        <w:t xml:space="preserve">considéré </w:t>
      </w:r>
      <w:r w:rsidRPr="002746DE">
        <w:rPr>
          <w:lang w:val="fr-CH"/>
        </w:rPr>
        <w:t xml:space="preserve">les conclusions de la </w:t>
      </w:r>
      <w:r w:rsidRPr="000F316C">
        <w:rPr>
          <w:lang w:val="fr-CH"/>
        </w:rPr>
        <w:t>réunion d</w:t>
      </w:r>
      <w:r w:rsidR="005D535C" w:rsidRPr="000F316C">
        <w:rPr>
          <w:lang w:val="fr-CH"/>
        </w:rPr>
        <w:t>’</w:t>
      </w:r>
      <w:r w:rsidRPr="000F316C">
        <w:rPr>
          <w:lang w:val="fr-CH"/>
        </w:rPr>
        <w:t xml:space="preserve">experts sur la modernisation </w:t>
      </w:r>
      <w:r w:rsidR="001043AC" w:rsidRPr="000F316C">
        <w:rPr>
          <w:lang w:val="fr-CH"/>
        </w:rPr>
        <w:t xml:space="preserve">des </w:t>
      </w:r>
      <w:hyperlink r:id="rId13" w:history="1">
        <w:r w:rsidRPr="003A07A9">
          <w:rPr>
            <w:rStyle w:val="Hyperlink"/>
            <w:lang w:val="fr-CH"/>
          </w:rPr>
          <w:t>rapport</w:t>
        </w:r>
        <w:r w:rsidR="001043AC" w:rsidRPr="003A07A9">
          <w:rPr>
            <w:rStyle w:val="Hyperlink"/>
            <w:lang w:val="fr-CH"/>
          </w:rPr>
          <w:t>s</w:t>
        </w:r>
        <w:r w:rsidRPr="003A07A9">
          <w:rPr>
            <w:rStyle w:val="Hyperlink"/>
            <w:lang w:val="fr-CH"/>
          </w:rPr>
          <w:t xml:space="preserve"> sur l</w:t>
        </w:r>
        <w:r w:rsidR="005D535C" w:rsidRPr="003A07A9">
          <w:rPr>
            <w:rStyle w:val="Hyperlink"/>
            <w:lang w:val="fr-CH"/>
          </w:rPr>
          <w:t>’</w:t>
        </w:r>
        <w:r w:rsidRPr="003A07A9">
          <w:rPr>
            <w:rStyle w:val="Hyperlink"/>
            <w:lang w:val="fr-CH"/>
          </w:rPr>
          <w:t>état du climat</w:t>
        </w:r>
      </w:hyperlink>
      <w:r w:rsidRPr="002746DE">
        <w:rPr>
          <w:lang w:val="fr-CH"/>
        </w:rPr>
        <w:t>,</w:t>
      </w:r>
      <w:bookmarkStart w:id="13" w:name="_Hlk152251557"/>
      <w:bookmarkStart w:id="14" w:name="_Hlk152251585"/>
      <w:bookmarkStart w:id="15" w:name="_Hlk151027366"/>
      <w:bookmarkEnd w:id="13"/>
      <w:bookmarkEnd w:id="14"/>
      <w:bookmarkEnd w:id="15"/>
    </w:p>
    <w:p w14:paraId="4C3FA973" w14:textId="0869789F" w:rsidR="007348F5" w:rsidRPr="002746DE" w:rsidRDefault="007348F5" w:rsidP="007348F5">
      <w:pPr>
        <w:pStyle w:val="WMOBodyText"/>
        <w:rPr>
          <w:lang w:val="fr-CH"/>
        </w:rPr>
      </w:pPr>
      <w:r w:rsidRPr="002746DE">
        <w:rPr>
          <w:b/>
          <w:bCs/>
          <w:lang w:val="fr-CH"/>
        </w:rPr>
        <w:t>Ayant examiné</w:t>
      </w:r>
      <w:r w:rsidRPr="002746DE">
        <w:rPr>
          <w:lang w:val="fr-CH"/>
        </w:rPr>
        <w:t xml:space="preserve"> le projet de recommandation</w:t>
      </w:r>
      <w:r w:rsidR="001043AC" w:rsidRPr="002746DE">
        <w:rPr>
          <w:lang w:val="fr-CH"/>
        </w:rPr>
        <w:t> </w:t>
      </w:r>
      <w:r w:rsidR="00AA72F6">
        <w:rPr>
          <w:lang w:val="fr-CH"/>
        </w:rPr>
        <w:t>4.4(2)</w:t>
      </w:r>
      <w:r w:rsidRPr="002746DE">
        <w:rPr>
          <w:lang w:val="fr-CH"/>
        </w:rPr>
        <w:t>/1</w:t>
      </w:r>
      <w:r w:rsidR="001043AC" w:rsidRPr="002746DE">
        <w:rPr>
          <w:lang w:val="fr-CH"/>
        </w:rPr>
        <w:t xml:space="preserve"> (SERCOM-3)</w:t>
      </w:r>
      <w:r w:rsidRPr="002746DE">
        <w:rPr>
          <w:lang w:val="fr-CH"/>
        </w:rPr>
        <w:t>,</w:t>
      </w:r>
    </w:p>
    <w:p w14:paraId="41546E07" w14:textId="7646AAD4" w:rsidR="007348F5" w:rsidRPr="002746DE" w:rsidRDefault="007348F5" w:rsidP="007348F5">
      <w:pPr>
        <w:pStyle w:val="WMOBodyText"/>
        <w:rPr>
          <w:lang w:val="fr-CH"/>
        </w:rPr>
      </w:pPr>
      <w:r w:rsidRPr="002746DE">
        <w:rPr>
          <w:b/>
          <w:bCs/>
          <w:lang w:val="fr-CH"/>
        </w:rPr>
        <w:t>Recommande</w:t>
      </w:r>
      <w:r w:rsidRPr="002746DE">
        <w:rPr>
          <w:lang w:val="fr-CH"/>
        </w:rPr>
        <w:t xml:space="preserve"> au Conseil exécutif d</w:t>
      </w:r>
      <w:r w:rsidR="005D535C">
        <w:rPr>
          <w:lang w:val="fr-CH"/>
        </w:rPr>
        <w:t>’</w:t>
      </w:r>
      <w:r w:rsidRPr="002746DE">
        <w:rPr>
          <w:lang w:val="fr-CH"/>
        </w:rPr>
        <w:t>adopter la feuille de route relative aux rapports sur l</w:t>
      </w:r>
      <w:r w:rsidR="005D535C">
        <w:rPr>
          <w:lang w:val="fr-CH"/>
        </w:rPr>
        <w:t>’</w:t>
      </w:r>
      <w:r w:rsidRPr="002746DE">
        <w:rPr>
          <w:lang w:val="fr-CH"/>
        </w:rPr>
        <w:t>état du climat à l</w:t>
      </w:r>
      <w:r w:rsidR="005D535C">
        <w:rPr>
          <w:lang w:val="fr-CH"/>
        </w:rPr>
        <w:t>’</w:t>
      </w:r>
      <w:r w:rsidRPr="002746DE">
        <w:rPr>
          <w:lang w:val="fr-CH"/>
        </w:rPr>
        <w:t>échelle mondiale et régionale par le biais du projet de résolution figurant à l</w:t>
      </w:r>
      <w:r w:rsidR="005D535C">
        <w:rPr>
          <w:lang w:val="fr-CH"/>
        </w:rPr>
        <w:t>’</w:t>
      </w:r>
      <w:hyperlink w:anchor="_Annexe_du_projet" w:history="1">
        <w:r w:rsidRPr="002746DE">
          <w:rPr>
            <w:rStyle w:val="Hyperlink"/>
            <w:lang w:val="fr-CH"/>
          </w:rPr>
          <w:t>annexe</w:t>
        </w:r>
      </w:hyperlink>
      <w:r w:rsidRPr="002746DE">
        <w:rPr>
          <w:lang w:val="fr-CH"/>
        </w:rPr>
        <w:t xml:space="preserve"> de la présente recommandation.</w:t>
      </w:r>
    </w:p>
    <w:p w14:paraId="5F0DE6CC" w14:textId="77777777" w:rsidR="009969F0" w:rsidRPr="002746DE" w:rsidRDefault="00FD6E99" w:rsidP="009969F0">
      <w:pPr>
        <w:pStyle w:val="WMOBodyText"/>
        <w:jc w:val="center"/>
        <w:rPr>
          <w:lang w:val="fr-CH"/>
        </w:rPr>
      </w:pPr>
      <w:r w:rsidRPr="002746DE">
        <w:rPr>
          <w:lang w:val="fr-CH"/>
        </w:rPr>
        <w:t>__________</w:t>
      </w:r>
    </w:p>
    <w:p w14:paraId="009049D8" w14:textId="493FABB7" w:rsidR="00032750" w:rsidRPr="00195EE5" w:rsidRDefault="006D3615" w:rsidP="00E843C8">
      <w:pPr>
        <w:tabs>
          <w:tab w:val="clear" w:pos="1134"/>
        </w:tabs>
        <w:spacing w:before="360"/>
        <w:jc w:val="left"/>
        <w:rPr>
          <w:lang w:val="fr-CH"/>
        </w:rPr>
      </w:pPr>
      <w:hyperlink w:anchor="_Annexe_du_projet" w:history="1">
        <w:r w:rsidR="009F510D" w:rsidRPr="002746DE">
          <w:rPr>
            <w:rStyle w:val="Hyperlink"/>
            <w:lang w:val="fr-CH"/>
          </w:rPr>
          <w:t>Annexe: 1</w:t>
        </w:r>
      </w:hyperlink>
      <w:r w:rsidR="009F510D" w:rsidRPr="00195EE5">
        <w:rPr>
          <w:lang w:val="fr-CH"/>
        </w:rPr>
        <w:t xml:space="preserve"> </w:t>
      </w:r>
    </w:p>
    <w:p w14:paraId="531BBBB0" w14:textId="77777777" w:rsidR="00032750" w:rsidRPr="00195EE5" w:rsidRDefault="00032750">
      <w:pPr>
        <w:tabs>
          <w:tab w:val="clear" w:pos="1134"/>
        </w:tabs>
        <w:jc w:val="left"/>
        <w:rPr>
          <w:lang w:val="fr-CH"/>
        </w:rPr>
      </w:pPr>
      <w:r w:rsidRPr="00195EE5">
        <w:rPr>
          <w:lang w:val="fr-CH"/>
        </w:rPr>
        <w:br w:type="page"/>
      </w:r>
    </w:p>
    <w:p w14:paraId="335BFB4C" w14:textId="66D1760B" w:rsidR="007348F5" w:rsidRPr="002746DE" w:rsidRDefault="007348F5" w:rsidP="007411A4">
      <w:pPr>
        <w:pStyle w:val="Heading2"/>
        <w:rPr>
          <w:lang w:val="fr-CH"/>
        </w:rPr>
      </w:pPr>
      <w:bookmarkStart w:id="16" w:name="_Annexe_du_projet"/>
      <w:bookmarkStart w:id="17" w:name="Annex"/>
      <w:bookmarkEnd w:id="16"/>
      <w:r w:rsidRPr="002746DE">
        <w:rPr>
          <w:lang w:val="fr-CH"/>
        </w:rPr>
        <w:lastRenderedPageBreak/>
        <w:t xml:space="preserve">Annexe du projet de recommandation </w:t>
      </w:r>
      <w:r w:rsidR="00AA72F6">
        <w:rPr>
          <w:lang w:val="fr-CH"/>
        </w:rPr>
        <w:t>4.4(2)</w:t>
      </w:r>
      <w:r w:rsidRPr="002746DE">
        <w:rPr>
          <w:lang w:val="fr-CH"/>
        </w:rPr>
        <w:t>/1 (SERCOM-3)</w:t>
      </w:r>
      <w:bookmarkEnd w:id="17"/>
    </w:p>
    <w:p w14:paraId="6AC46E9E" w14:textId="77777777" w:rsidR="007348F5" w:rsidRPr="002746DE" w:rsidRDefault="007348F5" w:rsidP="00B54CE7">
      <w:pPr>
        <w:pStyle w:val="WMOBodyText"/>
        <w:jc w:val="center"/>
        <w:rPr>
          <w:lang w:val="fr-CH"/>
        </w:rPr>
      </w:pPr>
      <w:r w:rsidRPr="002746DE">
        <w:rPr>
          <w:b/>
          <w:bCs/>
          <w:lang w:val="fr-CH"/>
        </w:rPr>
        <w:t>Projet de résolution ##/1 (EC-78)</w:t>
      </w:r>
    </w:p>
    <w:p w14:paraId="0CD4A5B4" w14:textId="77777777" w:rsidR="007348F5" w:rsidRPr="002746DE" w:rsidRDefault="007348F5" w:rsidP="007348F5">
      <w:pPr>
        <w:pStyle w:val="WMOBodyText"/>
        <w:rPr>
          <w:lang w:val="fr-CH"/>
        </w:rPr>
      </w:pPr>
      <w:r w:rsidRPr="002746DE">
        <w:rPr>
          <w:lang w:val="fr-CH"/>
        </w:rPr>
        <w:t>LE CONSEIL EXÉCUTIF,</w:t>
      </w:r>
    </w:p>
    <w:p w14:paraId="54E59912" w14:textId="3311B237" w:rsidR="007348F5" w:rsidRPr="00D5504B" w:rsidRDefault="007348F5" w:rsidP="00015C76">
      <w:pPr>
        <w:pStyle w:val="WMOBodyText"/>
        <w:rPr>
          <w:lang w:val="fr-CH"/>
        </w:rPr>
      </w:pPr>
      <w:r w:rsidRPr="00D5504B">
        <w:rPr>
          <w:b/>
          <w:bCs/>
          <w:lang w:val="fr-CH"/>
        </w:rPr>
        <w:t>Rappelant</w:t>
      </w:r>
      <w:r w:rsidRPr="00D5504B">
        <w:rPr>
          <w:lang w:val="fr-CH"/>
        </w:rPr>
        <w:t xml:space="preserve"> la </w:t>
      </w:r>
      <w:hyperlink r:id="rId14" w:anchor="page=24&amp;viewer=picture&amp;o=bookmark&amp;n=0&amp;q=" w:history="1">
        <w:r w:rsidRPr="00D5504B">
          <w:rPr>
            <w:rStyle w:val="Hyperlink"/>
            <w:lang w:val="fr-CH"/>
          </w:rPr>
          <w:t>résolution 2 (Cg-19)</w:t>
        </w:r>
      </w:hyperlink>
      <w:r w:rsidRPr="00D5504B">
        <w:rPr>
          <w:lang w:val="fr-CH"/>
        </w:rPr>
        <w:t xml:space="preserve"> </w:t>
      </w:r>
      <w:r w:rsidR="00F41F21" w:rsidRPr="00D5504B">
        <w:rPr>
          <w:lang w:val="fr-CH"/>
        </w:rPr>
        <w:t xml:space="preserve">– </w:t>
      </w:r>
      <w:r w:rsidRPr="00D5504B">
        <w:rPr>
          <w:lang w:val="fr-CH"/>
        </w:rPr>
        <w:t>Plan stratégique de l</w:t>
      </w:r>
      <w:r w:rsidR="005D535C">
        <w:rPr>
          <w:lang w:val="fr-CH"/>
        </w:rPr>
        <w:t>’</w:t>
      </w:r>
      <w:r w:rsidRPr="00D5504B">
        <w:rPr>
          <w:lang w:val="fr-CH"/>
        </w:rPr>
        <w:t>OMM 2024</w:t>
      </w:r>
      <w:r w:rsidR="00F41F21" w:rsidRPr="00D5504B">
        <w:rPr>
          <w:lang w:val="fr-CH"/>
        </w:rPr>
        <w:t>–</w:t>
      </w:r>
      <w:r w:rsidRPr="00D5504B">
        <w:rPr>
          <w:lang w:val="fr-CH"/>
        </w:rPr>
        <w:t xml:space="preserve">2027, </w:t>
      </w:r>
      <w:r w:rsidR="00F41F21" w:rsidRPr="00D5504B">
        <w:rPr>
          <w:lang w:val="fr-CH"/>
        </w:rPr>
        <w:t>et notamment l</w:t>
      </w:r>
      <w:r w:rsidR="005D535C">
        <w:rPr>
          <w:lang w:val="fr-CH"/>
        </w:rPr>
        <w:t>’</w:t>
      </w:r>
      <w:r w:rsidR="00F41F21" w:rsidRPr="00D5504B">
        <w:rPr>
          <w:lang w:val="fr-CH"/>
        </w:rPr>
        <w:t>o</w:t>
      </w:r>
      <w:r w:rsidRPr="00D5504B">
        <w:rPr>
          <w:lang w:val="fr-CH"/>
        </w:rPr>
        <w:t>bjectif stratégique</w:t>
      </w:r>
      <w:r w:rsidR="00F41F21" w:rsidRPr="00D5504B">
        <w:rPr>
          <w:lang w:val="fr-CH"/>
        </w:rPr>
        <w:t> </w:t>
      </w:r>
      <w:r w:rsidRPr="00D5504B">
        <w:rPr>
          <w:lang w:val="fr-CH"/>
        </w:rPr>
        <w:t>1.2</w:t>
      </w:r>
      <w:r w:rsidR="00F41F21" w:rsidRPr="00D5504B">
        <w:rPr>
          <w:lang w:val="fr-CH"/>
        </w:rPr>
        <w:t xml:space="preserve"> du but à long terme 1</w:t>
      </w:r>
      <w:r w:rsidRPr="00D5504B">
        <w:rPr>
          <w:lang w:val="fr-CH"/>
        </w:rPr>
        <w:t>,</w:t>
      </w:r>
    </w:p>
    <w:p w14:paraId="072E279A" w14:textId="56C5A0D7" w:rsidR="00E55540" w:rsidRPr="00D5504B" w:rsidRDefault="007348F5" w:rsidP="00E55540">
      <w:pPr>
        <w:pStyle w:val="WMOBodyText"/>
        <w:rPr>
          <w:b/>
          <w:bCs/>
          <w:lang w:val="fr-CH"/>
        </w:rPr>
      </w:pPr>
      <w:r w:rsidRPr="00D5504B">
        <w:rPr>
          <w:b/>
          <w:bCs/>
          <w:lang w:val="fr-CH"/>
        </w:rPr>
        <w:t>Prenant note:</w:t>
      </w:r>
    </w:p>
    <w:p w14:paraId="10B1ED2E" w14:textId="38C359FB" w:rsidR="007348F5" w:rsidRPr="00D5504B" w:rsidRDefault="00E55540" w:rsidP="00133ADA">
      <w:pPr>
        <w:pStyle w:val="WMOBodyText"/>
        <w:ind w:left="567" w:hanging="567"/>
        <w:rPr>
          <w:lang w:val="fr-CH"/>
        </w:rPr>
      </w:pPr>
      <w:r w:rsidRPr="00D5504B">
        <w:rPr>
          <w:lang w:val="fr-CH"/>
        </w:rPr>
        <w:t>1)</w:t>
      </w:r>
      <w:r w:rsidRPr="00D5504B">
        <w:rPr>
          <w:lang w:val="fr-CH"/>
        </w:rPr>
        <w:tab/>
        <w:t xml:space="preserve">Des progrès significatifs réalisés </w:t>
      </w:r>
      <w:r w:rsidR="005C66B6" w:rsidRPr="00D5504B">
        <w:rPr>
          <w:lang w:val="fr-CH"/>
        </w:rPr>
        <w:t xml:space="preserve">depuis 1993 </w:t>
      </w:r>
      <w:r w:rsidRPr="00D5504B">
        <w:rPr>
          <w:lang w:val="fr-CH"/>
        </w:rPr>
        <w:t xml:space="preserve">dans la </w:t>
      </w:r>
      <w:r w:rsidR="005C66B6" w:rsidRPr="00D5504B">
        <w:rPr>
          <w:lang w:val="fr-CH"/>
        </w:rPr>
        <w:t xml:space="preserve">publication </w:t>
      </w:r>
      <w:r w:rsidRPr="00D5504B">
        <w:rPr>
          <w:lang w:val="fr-CH"/>
        </w:rPr>
        <w:t>de rapports annuels sur l</w:t>
      </w:r>
      <w:r w:rsidR="005D535C">
        <w:rPr>
          <w:lang w:val="fr-CH"/>
        </w:rPr>
        <w:t>’</w:t>
      </w:r>
      <w:r w:rsidRPr="00D5504B">
        <w:rPr>
          <w:lang w:val="fr-CH"/>
        </w:rPr>
        <w:t xml:space="preserve">état du climat mondial, </w:t>
      </w:r>
      <w:r w:rsidR="005C66B6" w:rsidRPr="00D5504B">
        <w:rPr>
          <w:lang w:val="fr-CH"/>
        </w:rPr>
        <w:t xml:space="preserve">y compris </w:t>
      </w:r>
      <w:r w:rsidRPr="00D5504B">
        <w:rPr>
          <w:lang w:val="fr-CH"/>
        </w:rPr>
        <w:t>l</w:t>
      </w:r>
      <w:r w:rsidR="005D535C">
        <w:rPr>
          <w:lang w:val="fr-CH"/>
        </w:rPr>
        <w:t>’</w:t>
      </w:r>
      <w:r w:rsidRPr="00D5504B">
        <w:rPr>
          <w:lang w:val="fr-CH"/>
        </w:rPr>
        <w:t>évolution des informations pertinentes pour les politiques et la présentation</w:t>
      </w:r>
      <w:r w:rsidR="005C66B6" w:rsidRPr="00D5504B">
        <w:rPr>
          <w:lang w:val="fr-CH"/>
        </w:rPr>
        <w:t>, chaque année depuis 2016,</w:t>
      </w:r>
      <w:r w:rsidRPr="00D5504B">
        <w:rPr>
          <w:lang w:val="fr-CH"/>
        </w:rPr>
        <w:t xml:space="preserve"> du rapport provisoire sur l</w:t>
      </w:r>
      <w:r w:rsidR="005D535C">
        <w:rPr>
          <w:lang w:val="fr-CH"/>
        </w:rPr>
        <w:t>’</w:t>
      </w:r>
      <w:r w:rsidRPr="00D5504B">
        <w:rPr>
          <w:lang w:val="fr-CH"/>
        </w:rPr>
        <w:t xml:space="preserve">état du climat mondial à la Conférence des </w:t>
      </w:r>
      <w:r w:rsidR="002746DE" w:rsidRPr="00D5504B">
        <w:rPr>
          <w:lang w:val="fr-CH"/>
        </w:rPr>
        <w:t>P</w:t>
      </w:r>
      <w:r w:rsidRPr="00D5504B">
        <w:rPr>
          <w:lang w:val="fr-CH"/>
        </w:rPr>
        <w:t xml:space="preserve">arties à la Convention-cadre des Nations </w:t>
      </w:r>
      <w:r w:rsidR="005C66B6" w:rsidRPr="00D5504B">
        <w:rPr>
          <w:lang w:val="fr-CH"/>
        </w:rPr>
        <w:t>U</w:t>
      </w:r>
      <w:r w:rsidRPr="00D5504B">
        <w:rPr>
          <w:lang w:val="fr-CH"/>
        </w:rPr>
        <w:t>nies sur les changements climatiques (CCNUCC)</w:t>
      </w:r>
      <w:r w:rsidR="005C66B6" w:rsidRPr="00D5504B">
        <w:rPr>
          <w:lang w:val="fr-CH"/>
        </w:rPr>
        <w:t>,</w:t>
      </w:r>
    </w:p>
    <w:p w14:paraId="14E4B3F6" w14:textId="6AE19C6F" w:rsidR="007348F5" w:rsidRPr="00D5504B" w:rsidRDefault="00E55540" w:rsidP="00133ADA">
      <w:pPr>
        <w:pStyle w:val="WMOBodyText"/>
        <w:ind w:left="567" w:hanging="567"/>
        <w:rPr>
          <w:lang w:val="fr-CH"/>
        </w:rPr>
      </w:pPr>
      <w:r w:rsidRPr="00D5504B">
        <w:rPr>
          <w:lang w:val="fr-CH"/>
        </w:rPr>
        <w:t>2)</w:t>
      </w:r>
      <w:r w:rsidRPr="00D5504B">
        <w:rPr>
          <w:lang w:val="fr-CH"/>
        </w:rPr>
        <w:tab/>
        <w:t>Du succès des rapports sur l</w:t>
      </w:r>
      <w:r w:rsidR="005D535C">
        <w:rPr>
          <w:lang w:val="fr-CH"/>
        </w:rPr>
        <w:t>’</w:t>
      </w:r>
      <w:r w:rsidRPr="00D5504B">
        <w:rPr>
          <w:lang w:val="fr-CH"/>
        </w:rPr>
        <w:t xml:space="preserve">état du climat régional qui sont publiés chaque année </w:t>
      </w:r>
      <w:r w:rsidR="005C66B6" w:rsidRPr="00D5504B">
        <w:rPr>
          <w:lang w:val="fr-CH"/>
        </w:rPr>
        <w:t xml:space="preserve">depuis 2019 </w:t>
      </w:r>
      <w:r w:rsidRPr="00D5504B">
        <w:rPr>
          <w:lang w:val="fr-CH"/>
        </w:rPr>
        <w:t>pour l</w:t>
      </w:r>
      <w:r w:rsidR="005D535C">
        <w:rPr>
          <w:lang w:val="fr-CH"/>
        </w:rPr>
        <w:t>’</w:t>
      </w:r>
      <w:r w:rsidRPr="00D5504B">
        <w:rPr>
          <w:lang w:val="fr-CH"/>
        </w:rPr>
        <w:t xml:space="preserve">Afrique, </w:t>
      </w:r>
      <w:r w:rsidR="005C66B6" w:rsidRPr="00D5504B">
        <w:rPr>
          <w:lang w:val="fr-CH"/>
        </w:rPr>
        <w:t xml:space="preserve">depuis 2020 </w:t>
      </w:r>
      <w:r w:rsidRPr="00D5504B">
        <w:rPr>
          <w:lang w:val="fr-CH"/>
        </w:rPr>
        <w:t>pour l</w:t>
      </w:r>
      <w:r w:rsidR="005D535C">
        <w:rPr>
          <w:lang w:val="fr-CH"/>
        </w:rPr>
        <w:t>’</w:t>
      </w:r>
      <w:r w:rsidRPr="00D5504B">
        <w:rPr>
          <w:lang w:val="fr-CH"/>
        </w:rPr>
        <w:t xml:space="preserve">Amérique latine et les Caraïbes, </w:t>
      </w:r>
      <w:r w:rsidR="002746DE" w:rsidRPr="00D5504B">
        <w:rPr>
          <w:lang w:val="fr-CH"/>
        </w:rPr>
        <w:t xml:space="preserve">ainsi que pour </w:t>
      </w:r>
      <w:r w:rsidRPr="00D5504B">
        <w:rPr>
          <w:lang w:val="fr-CH"/>
        </w:rPr>
        <w:t>l</w:t>
      </w:r>
      <w:r w:rsidR="005D535C">
        <w:rPr>
          <w:lang w:val="fr-CH"/>
        </w:rPr>
        <w:t>’</w:t>
      </w:r>
      <w:r w:rsidRPr="00D5504B">
        <w:rPr>
          <w:lang w:val="fr-CH"/>
        </w:rPr>
        <w:t>Asie et le Pacifique Sud-Ouest</w:t>
      </w:r>
      <w:r w:rsidR="002746DE" w:rsidRPr="00D5504B">
        <w:rPr>
          <w:lang w:val="fr-CH"/>
        </w:rPr>
        <w:t>,</w:t>
      </w:r>
      <w:r w:rsidRPr="00D5504B">
        <w:rPr>
          <w:lang w:val="fr-CH"/>
        </w:rPr>
        <w:t xml:space="preserve"> et </w:t>
      </w:r>
      <w:r w:rsidR="005C66B6" w:rsidRPr="00D5504B">
        <w:rPr>
          <w:lang w:val="fr-CH"/>
        </w:rPr>
        <w:t xml:space="preserve">depuis 2021 </w:t>
      </w:r>
      <w:r w:rsidRPr="00D5504B">
        <w:rPr>
          <w:lang w:val="fr-CH"/>
        </w:rPr>
        <w:t>pour l</w:t>
      </w:r>
      <w:r w:rsidR="005D535C">
        <w:rPr>
          <w:lang w:val="fr-CH"/>
        </w:rPr>
        <w:t>’</w:t>
      </w:r>
      <w:r w:rsidRPr="00D5504B">
        <w:rPr>
          <w:lang w:val="fr-CH"/>
        </w:rPr>
        <w:t>Europe,</w:t>
      </w:r>
    </w:p>
    <w:p w14:paraId="24D8AB54" w14:textId="0BCFB1A5" w:rsidR="007348F5" w:rsidRPr="00D5504B" w:rsidRDefault="007348F5" w:rsidP="007348F5">
      <w:pPr>
        <w:pStyle w:val="WMOBodyText"/>
        <w:rPr>
          <w:lang w:val="fr-CH"/>
        </w:rPr>
      </w:pPr>
      <w:r w:rsidRPr="00D5504B">
        <w:rPr>
          <w:b/>
          <w:bCs/>
          <w:lang w:val="fr-CH"/>
        </w:rPr>
        <w:t>Soulignant</w:t>
      </w:r>
      <w:r w:rsidRPr="00D5504B">
        <w:rPr>
          <w:lang w:val="fr-CH"/>
        </w:rPr>
        <w:t xml:space="preserve"> l</w:t>
      </w:r>
      <w:r w:rsidR="005D535C">
        <w:rPr>
          <w:lang w:val="fr-CH"/>
        </w:rPr>
        <w:t>’</w:t>
      </w:r>
      <w:r w:rsidRPr="00D5504B">
        <w:rPr>
          <w:lang w:val="fr-CH"/>
        </w:rPr>
        <w:t>importance de ces rapports</w:t>
      </w:r>
      <w:r w:rsidR="005C66B6" w:rsidRPr="00D5504B">
        <w:rPr>
          <w:lang w:val="fr-CH"/>
        </w:rPr>
        <w:t xml:space="preserve">, qui fournissent un suivi </w:t>
      </w:r>
      <w:r w:rsidRPr="00D5504B">
        <w:rPr>
          <w:lang w:val="fr-CH"/>
        </w:rPr>
        <w:t>des principaux indicateurs climatiques liés à l</w:t>
      </w:r>
      <w:r w:rsidR="005D535C">
        <w:rPr>
          <w:lang w:val="fr-CH"/>
        </w:rPr>
        <w:t>’</w:t>
      </w:r>
      <w:r w:rsidRPr="00D5504B">
        <w:rPr>
          <w:lang w:val="fr-CH"/>
        </w:rPr>
        <w:t xml:space="preserve">atmosphère, aux océans et à la cryosphère, </w:t>
      </w:r>
      <w:r w:rsidR="005C66B6" w:rsidRPr="00D5504B">
        <w:rPr>
          <w:lang w:val="fr-CH"/>
        </w:rPr>
        <w:t>et décrivent l</w:t>
      </w:r>
      <w:r w:rsidR="005D535C">
        <w:rPr>
          <w:lang w:val="fr-CH"/>
        </w:rPr>
        <w:t>’</w:t>
      </w:r>
      <w:r w:rsidRPr="00D5504B">
        <w:rPr>
          <w:lang w:val="fr-CH"/>
        </w:rPr>
        <w:t>influence de la variabilité du climat et d</w:t>
      </w:r>
      <w:r w:rsidR="00D5504B" w:rsidRPr="00D5504B">
        <w:rPr>
          <w:lang w:val="fr-CH"/>
        </w:rPr>
        <w:t>es</w:t>
      </w:r>
      <w:r w:rsidRPr="00D5504B">
        <w:rPr>
          <w:lang w:val="fr-CH"/>
        </w:rPr>
        <w:t xml:space="preserve"> changement</w:t>
      </w:r>
      <w:r w:rsidR="00D5504B" w:rsidRPr="00D5504B">
        <w:rPr>
          <w:lang w:val="fr-CH"/>
        </w:rPr>
        <w:t>s</w:t>
      </w:r>
      <w:r w:rsidRPr="00D5504B">
        <w:rPr>
          <w:lang w:val="fr-CH"/>
        </w:rPr>
        <w:t xml:space="preserve"> climatique</w:t>
      </w:r>
      <w:r w:rsidR="00D5504B" w:rsidRPr="00D5504B">
        <w:rPr>
          <w:lang w:val="fr-CH"/>
        </w:rPr>
        <w:t>s</w:t>
      </w:r>
      <w:r w:rsidRPr="00D5504B">
        <w:rPr>
          <w:lang w:val="fr-CH"/>
        </w:rPr>
        <w:t xml:space="preserve"> sur les phénomènes météorologiques et climatiques à fort impact</w:t>
      </w:r>
      <w:r w:rsidR="005C66B6" w:rsidRPr="00D5504B">
        <w:rPr>
          <w:lang w:val="fr-CH"/>
        </w:rPr>
        <w:t xml:space="preserve">, ainsi que les impacts socio-économiques </w:t>
      </w:r>
      <w:r w:rsidRPr="00D5504B">
        <w:rPr>
          <w:lang w:val="fr-CH"/>
        </w:rPr>
        <w:t>qui en découlent,</w:t>
      </w:r>
    </w:p>
    <w:p w14:paraId="27316985" w14:textId="77777777" w:rsidR="00964AEB" w:rsidRPr="00D5504B" w:rsidRDefault="007348F5" w:rsidP="00964AEB">
      <w:pPr>
        <w:pStyle w:val="WMOBodyText"/>
        <w:rPr>
          <w:b/>
          <w:bCs/>
          <w:lang w:val="fr-CH"/>
        </w:rPr>
      </w:pPr>
      <w:r w:rsidRPr="00D5504B">
        <w:rPr>
          <w:b/>
          <w:bCs/>
          <w:lang w:val="fr-CH"/>
        </w:rPr>
        <w:t>Se félicitant:</w:t>
      </w:r>
    </w:p>
    <w:p w14:paraId="2DA9C90B" w14:textId="7DEC7148" w:rsidR="00964AEB" w:rsidRPr="00D5504B" w:rsidRDefault="00964AEB" w:rsidP="008973CB">
      <w:pPr>
        <w:pStyle w:val="WMOBodyText"/>
        <w:ind w:left="567" w:hanging="567"/>
        <w:rPr>
          <w:lang w:val="fr-CH"/>
        </w:rPr>
      </w:pPr>
      <w:r w:rsidRPr="00D5504B">
        <w:rPr>
          <w:lang w:val="fr-CH"/>
        </w:rPr>
        <w:t>1)</w:t>
      </w:r>
      <w:r w:rsidRPr="00D5504B">
        <w:rPr>
          <w:lang w:val="fr-CH"/>
        </w:rPr>
        <w:tab/>
      </w:r>
      <w:r w:rsidR="005C66B6" w:rsidRPr="00D5504B">
        <w:rPr>
          <w:lang w:val="fr-CH"/>
        </w:rPr>
        <w:t xml:space="preserve">Du renforcement </w:t>
      </w:r>
      <w:r w:rsidRPr="00D5504B">
        <w:rPr>
          <w:lang w:val="fr-CH"/>
        </w:rPr>
        <w:t>de la collaboration avec divers instituts climatologiques internationaux et régionaux qui fournissent des données et des analyses climatologiques essentielles,</w:t>
      </w:r>
    </w:p>
    <w:p w14:paraId="65926789" w14:textId="30C4EAFE" w:rsidR="007348F5" w:rsidRPr="00D5504B" w:rsidRDefault="00964AEB" w:rsidP="008973CB">
      <w:pPr>
        <w:pStyle w:val="WMOBodyText"/>
        <w:ind w:left="567" w:hanging="567"/>
        <w:rPr>
          <w:lang w:val="fr-CH"/>
        </w:rPr>
      </w:pPr>
      <w:r w:rsidRPr="00D5504B">
        <w:rPr>
          <w:lang w:val="fr-CH"/>
        </w:rPr>
        <w:t>2)</w:t>
      </w:r>
      <w:r w:rsidRPr="00D5504B">
        <w:rPr>
          <w:lang w:val="fr-CH"/>
        </w:rPr>
        <w:tab/>
        <w:t xml:space="preserve">De la collaboration fructueuse avec </w:t>
      </w:r>
      <w:r w:rsidR="005C66B6" w:rsidRPr="00D5504B">
        <w:rPr>
          <w:lang w:val="fr-CH"/>
        </w:rPr>
        <w:t>d</w:t>
      </w:r>
      <w:r w:rsidRPr="00D5504B">
        <w:rPr>
          <w:lang w:val="fr-CH"/>
        </w:rPr>
        <w:t xml:space="preserve">es agences des Nations Unies </w:t>
      </w:r>
      <w:r w:rsidR="005C66B6" w:rsidRPr="00D5504B">
        <w:rPr>
          <w:lang w:val="fr-CH"/>
        </w:rPr>
        <w:t xml:space="preserve">pour obtenir des </w:t>
      </w:r>
      <w:r w:rsidRPr="00D5504B">
        <w:rPr>
          <w:lang w:val="fr-CH"/>
        </w:rPr>
        <w:t xml:space="preserve">données socio-économiques </w:t>
      </w:r>
      <w:r w:rsidR="00D5504B" w:rsidRPr="00D5504B">
        <w:rPr>
          <w:lang w:val="fr-CH"/>
        </w:rPr>
        <w:t>ayant trait aux</w:t>
      </w:r>
      <w:r w:rsidRPr="00D5504B">
        <w:rPr>
          <w:lang w:val="fr-CH"/>
        </w:rPr>
        <w:t xml:space="preserve"> impacts </w:t>
      </w:r>
      <w:r w:rsidR="00D5504B" w:rsidRPr="00D5504B">
        <w:rPr>
          <w:lang w:val="fr-CH"/>
        </w:rPr>
        <w:t>d</w:t>
      </w:r>
      <w:r w:rsidR="005D535C">
        <w:rPr>
          <w:lang w:val="fr-CH"/>
        </w:rPr>
        <w:t>’</w:t>
      </w:r>
      <w:r w:rsidR="00D5504B" w:rsidRPr="00D5504B">
        <w:rPr>
          <w:lang w:val="fr-CH"/>
        </w:rPr>
        <w:t xml:space="preserve">origine climatique </w:t>
      </w:r>
      <w:r w:rsidRPr="00D5504B">
        <w:rPr>
          <w:lang w:val="fr-CH"/>
        </w:rPr>
        <w:t xml:space="preserve">et/ou </w:t>
      </w:r>
      <w:r w:rsidR="00D5504B" w:rsidRPr="00D5504B">
        <w:rPr>
          <w:lang w:val="fr-CH"/>
        </w:rPr>
        <w:t xml:space="preserve">aux </w:t>
      </w:r>
      <w:r w:rsidRPr="00D5504B">
        <w:rPr>
          <w:lang w:val="fr-CH"/>
        </w:rPr>
        <w:t xml:space="preserve">impacts </w:t>
      </w:r>
      <w:r w:rsidR="005C66B6" w:rsidRPr="00D5504B">
        <w:rPr>
          <w:lang w:val="fr-CH"/>
        </w:rPr>
        <w:t>composites</w:t>
      </w:r>
      <w:r w:rsidRPr="00D5504B">
        <w:rPr>
          <w:lang w:val="fr-CH"/>
        </w:rPr>
        <w:t>,</w:t>
      </w:r>
    </w:p>
    <w:p w14:paraId="3C9AE9FB" w14:textId="77777777" w:rsidR="00964AEB" w:rsidRPr="00D5504B" w:rsidRDefault="007348F5" w:rsidP="00964AEB">
      <w:pPr>
        <w:pStyle w:val="WMOBodyText"/>
        <w:rPr>
          <w:b/>
          <w:bCs/>
          <w:lang w:val="fr-CH"/>
        </w:rPr>
      </w:pPr>
      <w:r w:rsidRPr="00D5504B">
        <w:rPr>
          <w:b/>
          <w:bCs/>
          <w:lang w:val="fr-CH"/>
        </w:rPr>
        <w:t>Considérant:</w:t>
      </w:r>
    </w:p>
    <w:p w14:paraId="1E0F1BA6" w14:textId="4AEF3A1F" w:rsidR="00964AEB" w:rsidRPr="00D5504B" w:rsidRDefault="00964AEB" w:rsidP="008973CB">
      <w:pPr>
        <w:pStyle w:val="WMOBodyText"/>
        <w:ind w:left="567" w:hanging="567"/>
        <w:rPr>
          <w:lang w:val="fr-CH"/>
        </w:rPr>
      </w:pPr>
      <w:r w:rsidRPr="00D5504B">
        <w:rPr>
          <w:lang w:val="fr-CH"/>
        </w:rPr>
        <w:t>1)</w:t>
      </w:r>
      <w:r w:rsidRPr="00D5504B">
        <w:rPr>
          <w:lang w:val="fr-CH"/>
        </w:rPr>
        <w:tab/>
        <w:t xml:space="preserve">Les efforts accrus déployés par divers groupes pour produire des informations sur le climat, </w:t>
      </w:r>
      <w:r w:rsidR="005C66B6" w:rsidRPr="00D5504B">
        <w:rPr>
          <w:lang w:val="fr-CH"/>
        </w:rPr>
        <w:t xml:space="preserve">par exemple sur </w:t>
      </w:r>
      <w:r w:rsidRPr="00D5504B">
        <w:rPr>
          <w:lang w:val="fr-CH"/>
        </w:rPr>
        <w:t>des indicateurs climatiques, l</w:t>
      </w:r>
      <w:r w:rsidR="005D535C">
        <w:rPr>
          <w:lang w:val="fr-CH"/>
        </w:rPr>
        <w:t>’</w:t>
      </w:r>
      <w:r w:rsidRPr="00D5504B">
        <w:rPr>
          <w:lang w:val="fr-CH"/>
        </w:rPr>
        <w:t>attribution des phénomènes extrêmes et le cycle du carbone,</w:t>
      </w:r>
    </w:p>
    <w:p w14:paraId="44A48480" w14:textId="39E6FC02" w:rsidR="00964AEB" w:rsidRPr="00D5504B" w:rsidRDefault="00964AEB" w:rsidP="00636C05">
      <w:pPr>
        <w:pStyle w:val="WMOBodyText"/>
        <w:ind w:left="567" w:right="-142" w:hanging="567"/>
        <w:rPr>
          <w:lang w:val="fr-CH"/>
        </w:rPr>
      </w:pPr>
      <w:r w:rsidRPr="00D5504B">
        <w:rPr>
          <w:lang w:val="fr-CH"/>
        </w:rPr>
        <w:t>2)</w:t>
      </w:r>
      <w:r w:rsidRPr="00D5504B">
        <w:rPr>
          <w:lang w:val="fr-CH"/>
        </w:rPr>
        <w:tab/>
      </w:r>
      <w:r w:rsidR="005C66B6" w:rsidRPr="00D5504B">
        <w:rPr>
          <w:lang w:val="fr-CH"/>
        </w:rPr>
        <w:t>L</w:t>
      </w:r>
      <w:r w:rsidR="005D535C">
        <w:rPr>
          <w:lang w:val="fr-CH"/>
        </w:rPr>
        <w:t>’</w:t>
      </w:r>
      <w:r w:rsidR="005C66B6" w:rsidRPr="00D5504B">
        <w:rPr>
          <w:lang w:val="fr-CH"/>
        </w:rPr>
        <w:t xml:space="preserve">importance cruciale des </w:t>
      </w:r>
      <w:r w:rsidRPr="00D5504B">
        <w:rPr>
          <w:lang w:val="fr-CH"/>
        </w:rPr>
        <w:t>synergie</w:t>
      </w:r>
      <w:r w:rsidR="005C66B6" w:rsidRPr="00D5504B">
        <w:rPr>
          <w:lang w:val="fr-CH"/>
        </w:rPr>
        <w:t>s</w:t>
      </w:r>
      <w:r w:rsidRPr="00D5504B">
        <w:rPr>
          <w:lang w:val="fr-CH"/>
        </w:rPr>
        <w:t xml:space="preserve"> entre l</w:t>
      </w:r>
      <w:r w:rsidR="005D535C">
        <w:rPr>
          <w:lang w:val="fr-CH"/>
        </w:rPr>
        <w:t>’</w:t>
      </w:r>
      <w:r w:rsidRPr="00D5504B">
        <w:rPr>
          <w:lang w:val="fr-CH"/>
        </w:rPr>
        <w:t>OMM, le Groupe d</w:t>
      </w:r>
      <w:r w:rsidR="005D535C">
        <w:rPr>
          <w:lang w:val="fr-CH"/>
        </w:rPr>
        <w:t>’</w:t>
      </w:r>
      <w:r w:rsidRPr="00D5504B">
        <w:rPr>
          <w:lang w:val="fr-CH"/>
        </w:rPr>
        <w:t>experts intergouvernemental sur l</w:t>
      </w:r>
      <w:r w:rsidR="005D535C">
        <w:rPr>
          <w:lang w:val="fr-CH"/>
        </w:rPr>
        <w:t>’</w:t>
      </w:r>
      <w:r w:rsidRPr="00D5504B">
        <w:rPr>
          <w:lang w:val="fr-CH"/>
        </w:rPr>
        <w:t>évolution du climat (GIEC) et d</w:t>
      </w:r>
      <w:r w:rsidR="005D535C">
        <w:rPr>
          <w:lang w:val="fr-CH"/>
        </w:rPr>
        <w:t>’</w:t>
      </w:r>
      <w:r w:rsidRPr="00D5504B">
        <w:rPr>
          <w:lang w:val="fr-CH"/>
        </w:rPr>
        <w:t>autres efforts internationaux pour communiquer des informations utiles à la prise de décision</w:t>
      </w:r>
      <w:r w:rsidR="005C66B6" w:rsidRPr="00D5504B">
        <w:rPr>
          <w:lang w:val="fr-CH"/>
        </w:rPr>
        <w:t xml:space="preserve"> </w:t>
      </w:r>
      <w:r w:rsidR="00D5504B" w:rsidRPr="00D5504B">
        <w:rPr>
          <w:lang w:val="fr-CH"/>
        </w:rPr>
        <w:t>au moyen</w:t>
      </w:r>
      <w:r w:rsidR="005C66B6" w:rsidRPr="00D5504B">
        <w:rPr>
          <w:lang w:val="fr-CH"/>
        </w:rPr>
        <w:t xml:space="preserve"> de </w:t>
      </w:r>
      <w:r w:rsidRPr="00D5504B">
        <w:rPr>
          <w:lang w:val="fr-CH"/>
        </w:rPr>
        <w:t>messages cohérents et faisant autorité,</w:t>
      </w:r>
    </w:p>
    <w:p w14:paraId="767BEA21" w14:textId="7F65C655" w:rsidR="007348F5" w:rsidRPr="00D5504B" w:rsidRDefault="007348F5" w:rsidP="00964AEB">
      <w:pPr>
        <w:pStyle w:val="WMOBodyText"/>
        <w:rPr>
          <w:lang w:val="fr-CH"/>
        </w:rPr>
      </w:pPr>
      <w:r w:rsidRPr="00D5504B">
        <w:rPr>
          <w:b/>
          <w:bCs/>
          <w:lang w:val="fr-CH"/>
        </w:rPr>
        <w:t>Ayant examiné</w:t>
      </w:r>
      <w:r w:rsidRPr="00D5504B">
        <w:rPr>
          <w:lang w:val="fr-CH"/>
        </w:rPr>
        <w:t xml:space="preserve"> la recommandation </w:t>
      </w:r>
      <w:r w:rsidR="00AA72F6">
        <w:rPr>
          <w:lang w:val="fr-CH"/>
        </w:rPr>
        <w:t>4.4(2)</w:t>
      </w:r>
      <w:r w:rsidRPr="00D5504B">
        <w:rPr>
          <w:lang w:val="fr-CH"/>
        </w:rPr>
        <w:t>/1 (SERCOM-3),</w:t>
      </w:r>
    </w:p>
    <w:p w14:paraId="0AD1E6B5" w14:textId="2934FA50" w:rsidR="007348F5" w:rsidRPr="00D5504B" w:rsidRDefault="007348F5" w:rsidP="007348F5">
      <w:pPr>
        <w:pStyle w:val="WMOBodyText"/>
        <w:rPr>
          <w:lang w:val="fr-CH"/>
        </w:rPr>
      </w:pPr>
      <w:r w:rsidRPr="00D5504B">
        <w:rPr>
          <w:b/>
          <w:bCs/>
          <w:lang w:val="fr-CH"/>
        </w:rPr>
        <w:t>Ayant approuvé</w:t>
      </w:r>
      <w:r w:rsidRPr="00D5504B">
        <w:rPr>
          <w:lang w:val="fr-CH"/>
        </w:rPr>
        <w:t xml:space="preserve"> la recommandation </w:t>
      </w:r>
      <w:r w:rsidR="00AA72F6">
        <w:rPr>
          <w:lang w:val="fr-CH"/>
        </w:rPr>
        <w:t>4.4(2)</w:t>
      </w:r>
      <w:r w:rsidRPr="00D5504B">
        <w:rPr>
          <w:lang w:val="fr-CH"/>
        </w:rPr>
        <w:t xml:space="preserve"> (SERCOM-3) </w:t>
      </w:r>
      <w:r w:rsidR="002619D6" w:rsidRPr="00D5504B">
        <w:rPr>
          <w:lang w:val="fr-CH"/>
        </w:rPr>
        <w:t>–</w:t>
      </w:r>
      <w:r w:rsidRPr="00D5504B">
        <w:rPr>
          <w:lang w:val="fr-CH"/>
        </w:rPr>
        <w:t xml:space="preserve"> Feuille de route relative aux rapports sur l</w:t>
      </w:r>
      <w:r w:rsidR="005D535C">
        <w:rPr>
          <w:lang w:val="fr-CH"/>
        </w:rPr>
        <w:t>’</w:t>
      </w:r>
      <w:r w:rsidRPr="00D5504B">
        <w:rPr>
          <w:lang w:val="fr-CH"/>
        </w:rPr>
        <w:t>état du climat à l</w:t>
      </w:r>
      <w:r w:rsidR="005D535C">
        <w:rPr>
          <w:lang w:val="fr-CH"/>
        </w:rPr>
        <w:t>’</w:t>
      </w:r>
      <w:r w:rsidRPr="00D5504B">
        <w:rPr>
          <w:lang w:val="fr-CH"/>
        </w:rPr>
        <w:t>échelle mondiale et régionale</w:t>
      </w:r>
      <w:r w:rsidR="00D5504B" w:rsidRPr="00D5504B">
        <w:rPr>
          <w:lang w:val="fr-CH"/>
        </w:rPr>
        <w:t>,</w:t>
      </w:r>
    </w:p>
    <w:p w14:paraId="318C64D4" w14:textId="5B268A24" w:rsidR="007348F5" w:rsidRPr="00D5504B" w:rsidRDefault="007348F5" w:rsidP="007348F5">
      <w:pPr>
        <w:pStyle w:val="WMOBodyText"/>
        <w:rPr>
          <w:lang w:val="fr-CH"/>
        </w:rPr>
      </w:pPr>
      <w:r w:rsidRPr="00D5504B">
        <w:rPr>
          <w:b/>
          <w:bCs/>
          <w:lang w:val="fr-CH"/>
        </w:rPr>
        <w:t>Décide</w:t>
      </w:r>
      <w:r w:rsidRPr="00D5504B">
        <w:rPr>
          <w:lang w:val="fr-CH"/>
        </w:rPr>
        <w:t xml:space="preserve"> d</w:t>
      </w:r>
      <w:r w:rsidR="005D535C">
        <w:rPr>
          <w:lang w:val="fr-CH"/>
        </w:rPr>
        <w:t>’</w:t>
      </w:r>
      <w:r w:rsidRPr="00D5504B">
        <w:rPr>
          <w:lang w:val="fr-CH"/>
        </w:rPr>
        <w:t xml:space="preserve">actualiser </w:t>
      </w:r>
      <w:r w:rsidR="002619D6" w:rsidRPr="00D5504B">
        <w:rPr>
          <w:lang w:val="fr-CH"/>
        </w:rPr>
        <w:t xml:space="preserve">la procédure </w:t>
      </w:r>
      <w:r w:rsidRPr="00D5504B">
        <w:rPr>
          <w:lang w:val="fr-CH"/>
        </w:rPr>
        <w:t>d</w:t>
      </w:r>
      <w:r w:rsidR="005D535C">
        <w:rPr>
          <w:lang w:val="fr-CH"/>
        </w:rPr>
        <w:t>’</w:t>
      </w:r>
      <w:r w:rsidRPr="00D5504B">
        <w:rPr>
          <w:lang w:val="fr-CH"/>
        </w:rPr>
        <w:t>élaboration des rapports sur l</w:t>
      </w:r>
      <w:r w:rsidR="005D535C">
        <w:rPr>
          <w:lang w:val="fr-CH"/>
        </w:rPr>
        <w:t>’</w:t>
      </w:r>
      <w:r w:rsidRPr="00D5504B">
        <w:rPr>
          <w:lang w:val="fr-CH"/>
        </w:rPr>
        <w:t>état du climat;</w:t>
      </w:r>
    </w:p>
    <w:p w14:paraId="70F40802" w14:textId="6964CDFD" w:rsidR="00032750" w:rsidRPr="0020754E" w:rsidRDefault="007348F5" w:rsidP="007348F5">
      <w:pPr>
        <w:pStyle w:val="WMOBodyText"/>
        <w:rPr>
          <w:lang w:val="fr-CH"/>
        </w:rPr>
      </w:pPr>
      <w:r w:rsidRPr="00D5504B">
        <w:rPr>
          <w:b/>
          <w:bCs/>
          <w:lang w:val="fr-CH"/>
        </w:rPr>
        <w:t>Approuve</w:t>
      </w:r>
      <w:r w:rsidRPr="00D5504B">
        <w:rPr>
          <w:lang w:val="fr-CH"/>
        </w:rPr>
        <w:t xml:space="preserve"> la Feuille de route </w:t>
      </w:r>
      <w:r w:rsidR="00D5504B" w:rsidRPr="00D5504B">
        <w:rPr>
          <w:lang w:val="fr-CH"/>
        </w:rPr>
        <w:t>relative aux rapports sur l</w:t>
      </w:r>
      <w:r w:rsidR="005D535C">
        <w:rPr>
          <w:lang w:val="fr-CH"/>
        </w:rPr>
        <w:t>’</w:t>
      </w:r>
      <w:r w:rsidR="00D5504B" w:rsidRPr="00D5504B">
        <w:rPr>
          <w:lang w:val="fr-CH"/>
        </w:rPr>
        <w:t>é</w:t>
      </w:r>
      <w:r w:rsidR="002619D6" w:rsidRPr="00D5504B">
        <w:rPr>
          <w:lang w:val="fr-CH"/>
        </w:rPr>
        <w:t xml:space="preserve">tat </w:t>
      </w:r>
      <w:r w:rsidRPr="00D5504B">
        <w:rPr>
          <w:lang w:val="fr-CH"/>
        </w:rPr>
        <w:t xml:space="preserve">du climat figurant en </w:t>
      </w:r>
      <w:hyperlink w:anchor="_Annex_to_Draft_1" w:history="1">
        <w:r w:rsidRPr="00D5504B">
          <w:rPr>
            <w:rStyle w:val="Hyperlink"/>
            <w:lang w:val="fr-CH"/>
          </w:rPr>
          <w:t>annexe</w:t>
        </w:r>
      </w:hyperlink>
      <w:r w:rsidRPr="00D5504B">
        <w:rPr>
          <w:lang w:val="fr-CH"/>
        </w:rPr>
        <w:t xml:space="preserve"> de la présente résolution;</w:t>
      </w:r>
    </w:p>
    <w:p w14:paraId="400E4DF3" w14:textId="071CA509" w:rsidR="007348F5" w:rsidRPr="00D5504B" w:rsidRDefault="007348F5" w:rsidP="0020754E">
      <w:pPr>
        <w:pStyle w:val="WMOBodyText"/>
        <w:keepNext/>
        <w:rPr>
          <w:b/>
          <w:bCs/>
          <w:lang w:val="fr-CH"/>
        </w:rPr>
      </w:pPr>
      <w:r w:rsidRPr="00D5504B">
        <w:rPr>
          <w:b/>
          <w:bCs/>
          <w:lang w:val="fr-CH"/>
        </w:rPr>
        <w:lastRenderedPageBreak/>
        <w:t xml:space="preserve">Prie: </w:t>
      </w:r>
    </w:p>
    <w:p w14:paraId="7FD1438E" w14:textId="7CCD55AF" w:rsidR="007348F5" w:rsidRPr="00D5504B" w:rsidRDefault="007348F5" w:rsidP="0020754E">
      <w:pPr>
        <w:pStyle w:val="WMOBodyText"/>
        <w:keepNext/>
        <w:ind w:left="567" w:hanging="567"/>
        <w:rPr>
          <w:lang w:val="fr-CH"/>
        </w:rPr>
      </w:pPr>
      <w:r w:rsidRPr="00D5504B">
        <w:rPr>
          <w:lang w:val="fr-CH"/>
        </w:rPr>
        <w:t>1)</w:t>
      </w:r>
      <w:r w:rsidRPr="00D5504B">
        <w:rPr>
          <w:lang w:val="fr-CH"/>
        </w:rPr>
        <w:tab/>
        <w:t>Les commissions techniques, le Conseil de la recherche, les conseils régionaux et les Membres de collaborer à l</w:t>
      </w:r>
      <w:r w:rsidR="005D535C">
        <w:rPr>
          <w:lang w:val="fr-CH"/>
        </w:rPr>
        <w:t>’</w:t>
      </w:r>
      <w:r w:rsidRPr="00D5504B">
        <w:rPr>
          <w:lang w:val="fr-CH"/>
        </w:rPr>
        <w:t xml:space="preserve">actualisation </w:t>
      </w:r>
      <w:r w:rsidR="002619D6" w:rsidRPr="00D5504B">
        <w:rPr>
          <w:lang w:val="fr-CH"/>
        </w:rPr>
        <w:t xml:space="preserve">de la procédure </w:t>
      </w:r>
      <w:r w:rsidRPr="00D5504B">
        <w:rPr>
          <w:lang w:val="fr-CH"/>
        </w:rPr>
        <w:t>d</w:t>
      </w:r>
      <w:r w:rsidR="005D535C">
        <w:rPr>
          <w:lang w:val="fr-CH"/>
        </w:rPr>
        <w:t>’</w:t>
      </w:r>
      <w:r w:rsidRPr="00D5504B">
        <w:rPr>
          <w:lang w:val="fr-CH"/>
        </w:rPr>
        <w:t>élaboration des rapports sur l</w:t>
      </w:r>
      <w:r w:rsidR="005D535C">
        <w:rPr>
          <w:lang w:val="fr-CH"/>
        </w:rPr>
        <w:t>’</w:t>
      </w:r>
      <w:r w:rsidRPr="00D5504B">
        <w:rPr>
          <w:lang w:val="fr-CH"/>
        </w:rPr>
        <w:t>état du climat;</w:t>
      </w:r>
    </w:p>
    <w:p w14:paraId="1A19AE73" w14:textId="34FBC73B" w:rsidR="007348F5" w:rsidRPr="00D5504B" w:rsidRDefault="007348F5" w:rsidP="008973CB">
      <w:pPr>
        <w:pStyle w:val="WMOBodyText"/>
        <w:ind w:left="567" w:hanging="567"/>
        <w:rPr>
          <w:lang w:val="fr-CH"/>
        </w:rPr>
      </w:pPr>
      <w:r w:rsidRPr="00D5504B">
        <w:rPr>
          <w:lang w:val="fr-CH"/>
        </w:rPr>
        <w:t>2)</w:t>
      </w:r>
      <w:r w:rsidRPr="00D5504B">
        <w:rPr>
          <w:lang w:val="fr-CH"/>
        </w:rPr>
        <w:tab/>
        <w:t xml:space="preserve">La Commission des services et applications météorologiques, climatologiques, hydrologiques, maritimes et environnementaux (SERCOM) de diriger </w:t>
      </w:r>
      <w:r w:rsidR="002619D6" w:rsidRPr="00D5504B">
        <w:rPr>
          <w:lang w:val="fr-CH"/>
        </w:rPr>
        <w:t>cet exercice d</w:t>
      </w:r>
      <w:r w:rsidR="005D535C">
        <w:rPr>
          <w:lang w:val="fr-CH"/>
        </w:rPr>
        <w:t>’</w:t>
      </w:r>
      <w:r w:rsidR="002619D6" w:rsidRPr="00D5504B">
        <w:rPr>
          <w:lang w:val="fr-CH"/>
        </w:rPr>
        <w:t>actualisation</w:t>
      </w:r>
      <w:r w:rsidRPr="00D5504B">
        <w:rPr>
          <w:lang w:val="fr-CH"/>
        </w:rPr>
        <w:t>, en collaboration avec le Conseil de la recherche, le Programme mondial de recherche sur le climat (PMRC), le Système mondial d</w:t>
      </w:r>
      <w:r w:rsidR="005D535C">
        <w:rPr>
          <w:lang w:val="fr-CH"/>
        </w:rPr>
        <w:t>’</w:t>
      </w:r>
      <w:r w:rsidRPr="00D5504B">
        <w:rPr>
          <w:lang w:val="fr-CH"/>
        </w:rPr>
        <w:t>observation du climat (SMOC) et les conseils régionaux;</w:t>
      </w:r>
    </w:p>
    <w:p w14:paraId="66464206" w14:textId="34B1DA8E" w:rsidR="007348F5" w:rsidRPr="00D5504B" w:rsidRDefault="007348F5" w:rsidP="008973CB">
      <w:pPr>
        <w:pStyle w:val="WMOBodyText"/>
        <w:ind w:left="567" w:hanging="567"/>
        <w:rPr>
          <w:lang w:val="fr-CH"/>
        </w:rPr>
      </w:pPr>
      <w:r w:rsidRPr="00D5504B">
        <w:rPr>
          <w:lang w:val="fr-CH"/>
        </w:rPr>
        <w:t>3)</w:t>
      </w:r>
      <w:r w:rsidRPr="00D5504B">
        <w:rPr>
          <w:lang w:val="fr-CH"/>
        </w:rPr>
        <w:tab/>
        <w:t>L</w:t>
      </w:r>
      <w:r w:rsidR="002619D6" w:rsidRPr="00D5504B">
        <w:rPr>
          <w:lang w:val="fr-CH"/>
        </w:rPr>
        <w:t>a</w:t>
      </w:r>
      <w:r w:rsidRPr="00D5504B">
        <w:rPr>
          <w:lang w:val="fr-CH"/>
        </w:rPr>
        <w:t xml:space="preserve"> Secrétaire général</w:t>
      </w:r>
      <w:r w:rsidR="002619D6" w:rsidRPr="00D5504B">
        <w:rPr>
          <w:lang w:val="fr-CH"/>
        </w:rPr>
        <w:t>e</w:t>
      </w:r>
      <w:r w:rsidRPr="00D5504B">
        <w:rPr>
          <w:lang w:val="fr-CH"/>
        </w:rPr>
        <w:t xml:space="preserve"> de faciliter </w:t>
      </w:r>
      <w:r w:rsidR="002619D6" w:rsidRPr="00D5504B">
        <w:rPr>
          <w:lang w:val="fr-CH"/>
        </w:rPr>
        <w:t>le processus d</w:t>
      </w:r>
      <w:r w:rsidR="005D535C">
        <w:rPr>
          <w:lang w:val="fr-CH"/>
        </w:rPr>
        <w:t>’</w:t>
      </w:r>
      <w:r w:rsidRPr="00D5504B">
        <w:rPr>
          <w:lang w:val="fr-CH"/>
        </w:rPr>
        <w:t xml:space="preserve">actualisation décrit dans la Feuille de route </w:t>
      </w:r>
      <w:r w:rsidR="00D5504B" w:rsidRPr="00D5504B">
        <w:rPr>
          <w:lang w:val="fr-CH"/>
        </w:rPr>
        <w:t>relative aux rapports sur l</w:t>
      </w:r>
      <w:r w:rsidR="005D535C">
        <w:rPr>
          <w:lang w:val="fr-CH"/>
        </w:rPr>
        <w:t>’</w:t>
      </w:r>
      <w:r w:rsidR="00D5504B" w:rsidRPr="00D5504B">
        <w:rPr>
          <w:lang w:val="fr-CH"/>
        </w:rPr>
        <w:t>é</w:t>
      </w:r>
      <w:r w:rsidRPr="00D5504B">
        <w:rPr>
          <w:lang w:val="fr-CH"/>
        </w:rPr>
        <w:t>tat du climat;</w:t>
      </w:r>
    </w:p>
    <w:p w14:paraId="305FCEA0" w14:textId="0C9AF5E2" w:rsidR="007348F5" w:rsidRPr="00D5504B" w:rsidRDefault="007348F5" w:rsidP="007348F5">
      <w:pPr>
        <w:pStyle w:val="WMOBodyText"/>
        <w:rPr>
          <w:lang w:val="fr-CH"/>
        </w:rPr>
      </w:pPr>
      <w:r w:rsidRPr="00D5504B">
        <w:rPr>
          <w:b/>
          <w:bCs/>
          <w:lang w:val="fr-CH"/>
        </w:rPr>
        <w:t>Exhorte</w:t>
      </w:r>
      <w:r w:rsidRPr="00D5504B">
        <w:rPr>
          <w:lang w:val="fr-CH"/>
        </w:rPr>
        <w:t xml:space="preserve"> </w:t>
      </w:r>
      <w:r w:rsidRPr="00D5504B">
        <w:rPr>
          <w:b/>
          <w:bCs/>
          <w:lang w:val="fr-CH"/>
        </w:rPr>
        <w:t>les Membres</w:t>
      </w:r>
      <w:r w:rsidRPr="00D5504B">
        <w:rPr>
          <w:lang w:val="fr-CH"/>
        </w:rPr>
        <w:t xml:space="preserve"> à </w:t>
      </w:r>
      <w:r w:rsidR="002619D6" w:rsidRPr="00D5504B">
        <w:rPr>
          <w:lang w:val="fr-CH"/>
        </w:rPr>
        <w:t>envisager la désignation d</w:t>
      </w:r>
      <w:r w:rsidR="005D535C">
        <w:rPr>
          <w:lang w:val="fr-CH"/>
        </w:rPr>
        <w:t>’</w:t>
      </w:r>
      <w:r w:rsidRPr="00D5504B">
        <w:rPr>
          <w:lang w:val="fr-CH"/>
        </w:rPr>
        <w:t xml:space="preserve">experts et </w:t>
      </w:r>
      <w:r w:rsidR="002619D6" w:rsidRPr="00D5504B">
        <w:rPr>
          <w:lang w:val="fr-CH"/>
        </w:rPr>
        <w:t xml:space="preserve">de </w:t>
      </w:r>
      <w:r w:rsidRPr="00D5504B">
        <w:rPr>
          <w:lang w:val="fr-CH"/>
        </w:rPr>
        <w:t xml:space="preserve">coordonnateurs, </w:t>
      </w:r>
      <w:r w:rsidR="002619D6" w:rsidRPr="00D5504B">
        <w:rPr>
          <w:lang w:val="fr-CH"/>
        </w:rPr>
        <w:t>en fonction d</w:t>
      </w:r>
      <w:r w:rsidRPr="00D5504B">
        <w:rPr>
          <w:lang w:val="fr-CH"/>
        </w:rPr>
        <w:t xml:space="preserve">es besoins, </w:t>
      </w:r>
      <w:r w:rsidR="002619D6" w:rsidRPr="00D5504B">
        <w:rPr>
          <w:lang w:val="fr-CH"/>
        </w:rPr>
        <w:t xml:space="preserve">afin de </w:t>
      </w:r>
      <w:r w:rsidRPr="00D5504B">
        <w:rPr>
          <w:lang w:val="fr-CH"/>
        </w:rPr>
        <w:t xml:space="preserve">contribuer à </w:t>
      </w:r>
      <w:r w:rsidR="002619D6" w:rsidRPr="00D5504B">
        <w:rPr>
          <w:lang w:val="fr-CH"/>
        </w:rPr>
        <w:t>l</w:t>
      </w:r>
      <w:r w:rsidR="005D535C">
        <w:rPr>
          <w:lang w:val="fr-CH"/>
        </w:rPr>
        <w:t>’</w:t>
      </w:r>
      <w:r w:rsidR="002619D6" w:rsidRPr="00D5504B">
        <w:rPr>
          <w:lang w:val="fr-CH"/>
        </w:rPr>
        <w:t xml:space="preserve">élaboration </w:t>
      </w:r>
      <w:r w:rsidRPr="00D5504B">
        <w:rPr>
          <w:lang w:val="fr-CH"/>
        </w:rPr>
        <w:t>des rapports sur l</w:t>
      </w:r>
      <w:r w:rsidR="005D535C">
        <w:rPr>
          <w:lang w:val="fr-CH"/>
        </w:rPr>
        <w:t>’</w:t>
      </w:r>
      <w:r w:rsidRPr="00D5504B">
        <w:rPr>
          <w:lang w:val="fr-CH"/>
        </w:rPr>
        <w:t>état du climat et des déclarations et résumés à l</w:t>
      </w:r>
      <w:r w:rsidR="005D535C">
        <w:rPr>
          <w:lang w:val="fr-CH"/>
        </w:rPr>
        <w:t>’</w:t>
      </w:r>
      <w:r w:rsidRPr="00D5504B">
        <w:rPr>
          <w:lang w:val="fr-CH"/>
        </w:rPr>
        <w:t>intention des décideurs</w:t>
      </w:r>
      <w:r w:rsidR="002619D6" w:rsidRPr="00D5504B">
        <w:rPr>
          <w:lang w:val="fr-CH"/>
        </w:rPr>
        <w:t xml:space="preserve"> y afférents</w:t>
      </w:r>
      <w:r w:rsidRPr="00D5504B">
        <w:rPr>
          <w:lang w:val="fr-CH"/>
        </w:rPr>
        <w:t>.</w:t>
      </w:r>
    </w:p>
    <w:p w14:paraId="2A78ED76" w14:textId="77777777" w:rsidR="00EB6715" w:rsidRPr="00D5504B" w:rsidRDefault="007348F5" w:rsidP="00B663EF">
      <w:pPr>
        <w:pStyle w:val="WMOBodyText"/>
        <w:jc w:val="center"/>
        <w:rPr>
          <w:lang w:val="fr-CH"/>
        </w:rPr>
      </w:pPr>
      <w:r w:rsidRPr="00D5504B">
        <w:rPr>
          <w:lang w:val="fr-CH"/>
        </w:rPr>
        <w:t>__________</w:t>
      </w:r>
    </w:p>
    <w:p w14:paraId="04714C79" w14:textId="087F736B" w:rsidR="003E7504" w:rsidRPr="00195EE5" w:rsidRDefault="006D3615" w:rsidP="003E7504">
      <w:pPr>
        <w:pStyle w:val="WMOBodyText"/>
        <w:spacing w:before="360" w:after="240"/>
        <w:rPr>
          <w:lang w:val="fr-CH"/>
        </w:rPr>
      </w:pPr>
      <w:hyperlink w:anchor="_Annex_to_Draft_1" w:history="1">
        <w:r w:rsidR="009F510D" w:rsidRPr="00D5504B">
          <w:rPr>
            <w:rStyle w:val="Hyperlink"/>
            <w:lang w:val="fr-CH"/>
          </w:rPr>
          <w:t>Annexe: 1</w:t>
        </w:r>
      </w:hyperlink>
    </w:p>
    <w:p w14:paraId="5F39EC79" w14:textId="77777777" w:rsidR="003E7504" w:rsidRPr="00195EE5" w:rsidRDefault="003E7504" w:rsidP="00B663EF">
      <w:pPr>
        <w:pStyle w:val="WMOBodyText"/>
        <w:jc w:val="center"/>
        <w:rPr>
          <w:lang w:val="fr-CH"/>
        </w:rPr>
      </w:pPr>
    </w:p>
    <w:p w14:paraId="4A8509B2" w14:textId="0FFFE238" w:rsidR="007348F5" w:rsidRPr="00195EE5" w:rsidRDefault="00EB6715" w:rsidP="00EB6715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195EE5">
        <w:rPr>
          <w:lang w:val="fr-CH"/>
        </w:rPr>
        <w:br w:type="page"/>
      </w:r>
    </w:p>
    <w:p w14:paraId="7C3A8A40" w14:textId="77777777" w:rsidR="00394346" w:rsidRPr="00D5504B" w:rsidRDefault="007348F5" w:rsidP="00F32E16">
      <w:pPr>
        <w:pStyle w:val="Heading2"/>
        <w:rPr>
          <w:lang w:val="fr-CH"/>
        </w:rPr>
      </w:pPr>
      <w:bookmarkStart w:id="18" w:name="_Annex_to_Draft_1"/>
      <w:bookmarkEnd w:id="18"/>
      <w:r w:rsidRPr="00D5504B">
        <w:rPr>
          <w:lang w:val="fr-CH"/>
        </w:rPr>
        <w:lastRenderedPageBreak/>
        <w:t>Annexe du projet de résolution ##/1 (EC-78)</w:t>
      </w:r>
    </w:p>
    <w:p w14:paraId="6CD6B6E7" w14:textId="2B9D37F4" w:rsidR="007348F5" w:rsidRPr="00D5504B" w:rsidRDefault="002619D6" w:rsidP="00CD1173">
      <w:pPr>
        <w:pStyle w:val="WMOBodyText"/>
        <w:jc w:val="center"/>
        <w:rPr>
          <w:b/>
          <w:bCs/>
          <w:sz w:val="22"/>
          <w:szCs w:val="22"/>
          <w:lang w:val="fr-CH"/>
        </w:rPr>
      </w:pPr>
      <w:r w:rsidRPr="00D5504B">
        <w:rPr>
          <w:b/>
          <w:bCs/>
          <w:lang w:val="fr-CH"/>
        </w:rPr>
        <w:t>Feuille de route relative aux rapports sur l</w:t>
      </w:r>
      <w:r w:rsidR="005D535C">
        <w:rPr>
          <w:b/>
          <w:bCs/>
          <w:lang w:val="fr-CH"/>
        </w:rPr>
        <w:t>’</w:t>
      </w:r>
      <w:r w:rsidRPr="00D5504B">
        <w:rPr>
          <w:b/>
          <w:bCs/>
          <w:lang w:val="fr-CH"/>
        </w:rPr>
        <w:t>état du climat à l</w:t>
      </w:r>
      <w:r w:rsidR="005D535C">
        <w:rPr>
          <w:b/>
          <w:bCs/>
          <w:lang w:val="fr-CH"/>
        </w:rPr>
        <w:t>’</w:t>
      </w:r>
      <w:r w:rsidRPr="00D5504B">
        <w:rPr>
          <w:b/>
          <w:bCs/>
          <w:lang w:val="fr-CH"/>
        </w:rPr>
        <w:t>échelle mondiale et</w:t>
      </w:r>
      <w:r w:rsidR="00FD19C1">
        <w:rPr>
          <w:b/>
          <w:bCs/>
          <w:lang w:val="en-CH"/>
        </w:rPr>
        <w:t> </w:t>
      </w:r>
      <w:r w:rsidRPr="00D5504B">
        <w:rPr>
          <w:b/>
          <w:bCs/>
          <w:lang w:val="fr-CH"/>
        </w:rPr>
        <w:t>régionale</w:t>
      </w:r>
    </w:p>
    <w:p w14:paraId="4D8B9C9D" w14:textId="3F3CE915" w:rsidR="00224534" w:rsidRPr="00D5504B" w:rsidRDefault="002619D6" w:rsidP="00731792">
      <w:pPr>
        <w:pStyle w:val="WMOBodyText"/>
        <w:spacing w:before="360" w:after="240"/>
        <w:rPr>
          <w:b/>
          <w:bCs/>
          <w:lang w:val="fr-CH"/>
        </w:rPr>
      </w:pPr>
      <w:r w:rsidRPr="00D5504B">
        <w:rPr>
          <w:b/>
          <w:bCs/>
          <w:lang w:val="fr-CH"/>
        </w:rPr>
        <w:t>Objectifs</w:t>
      </w:r>
      <w:r w:rsidR="007348F5" w:rsidRPr="00D5504B">
        <w:rPr>
          <w:b/>
          <w:bCs/>
          <w:lang w:val="fr-CH"/>
        </w:rPr>
        <w:t>:</w:t>
      </w:r>
    </w:p>
    <w:p w14:paraId="00041DBD" w14:textId="7C38BBD5" w:rsidR="00224534" w:rsidRPr="00D5504B" w:rsidRDefault="00224534" w:rsidP="00224534">
      <w:pPr>
        <w:pStyle w:val="WMOBodyText"/>
        <w:ind w:left="567" w:hanging="567"/>
        <w:rPr>
          <w:lang w:val="fr-CH"/>
        </w:rPr>
      </w:pPr>
      <w:r w:rsidRPr="00D5504B">
        <w:rPr>
          <w:lang w:val="fr-CH"/>
        </w:rPr>
        <w:t>1)</w:t>
      </w:r>
      <w:r w:rsidRPr="00D5504B">
        <w:rPr>
          <w:lang w:val="fr-CH"/>
        </w:rPr>
        <w:tab/>
      </w:r>
      <w:r w:rsidR="002619D6" w:rsidRPr="00D5504B">
        <w:rPr>
          <w:lang w:val="fr-CH"/>
        </w:rPr>
        <w:t>Produire</w:t>
      </w:r>
      <w:r w:rsidRPr="00D5504B">
        <w:rPr>
          <w:lang w:val="fr-CH"/>
        </w:rPr>
        <w:t xml:space="preserve"> des rapports sur l</w:t>
      </w:r>
      <w:r w:rsidR="005D535C">
        <w:rPr>
          <w:lang w:val="fr-CH"/>
        </w:rPr>
        <w:t>’</w:t>
      </w:r>
      <w:r w:rsidRPr="00D5504B">
        <w:rPr>
          <w:lang w:val="fr-CH"/>
        </w:rPr>
        <w:t>état du climat à l</w:t>
      </w:r>
      <w:r w:rsidR="005D535C">
        <w:rPr>
          <w:lang w:val="fr-CH"/>
        </w:rPr>
        <w:t>’</w:t>
      </w:r>
      <w:r w:rsidRPr="00D5504B">
        <w:rPr>
          <w:lang w:val="fr-CH"/>
        </w:rPr>
        <w:t>échelle mondiale et régionale qui soient rentables, efficaces, fiables, opportuns, utiles et pertinents pour l</w:t>
      </w:r>
      <w:r w:rsidR="005D535C">
        <w:rPr>
          <w:lang w:val="fr-CH"/>
        </w:rPr>
        <w:t>’</w:t>
      </w:r>
      <w:r w:rsidRPr="00D5504B">
        <w:rPr>
          <w:lang w:val="fr-CH"/>
        </w:rPr>
        <w:t>élaboration des politiques;</w:t>
      </w:r>
    </w:p>
    <w:p w14:paraId="38F581F3" w14:textId="5985011A" w:rsidR="00224534" w:rsidRPr="00D5504B" w:rsidRDefault="00224534" w:rsidP="00224534">
      <w:pPr>
        <w:pStyle w:val="WMOBodyText"/>
        <w:ind w:left="567" w:hanging="567"/>
        <w:rPr>
          <w:lang w:val="fr-CH"/>
        </w:rPr>
      </w:pPr>
      <w:r w:rsidRPr="00D5504B">
        <w:rPr>
          <w:lang w:val="fr-CH"/>
        </w:rPr>
        <w:t>2)</w:t>
      </w:r>
      <w:r w:rsidRPr="00D5504B">
        <w:rPr>
          <w:lang w:val="fr-CH"/>
        </w:rPr>
        <w:tab/>
        <w:t>Renforcer la collaboration avec les acteurs internationaux sur les aspects liés aux méthodologies, à l</w:t>
      </w:r>
      <w:r w:rsidR="005D535C">
        <w:rPr>
          <w:lang w:val="fr-CH"/>
        </w:rPr>
        <w:t>’</w:t>
      </w:r>
      <w:r w:rsidRPr="00D5504B">
        <w:rPr>
          <w:lang w:val="fr-CH"/>
        </w:rPr>
        <w:t>attribution, aux impacts et à la communication des produits liés au rapport sur l</w:t>
      </w:r>
      <w:r w:rsidR="005D535C">
        <w:rPr>
          <w:lang w:val="fr-CH"/>
        </w:rPr>
        <w:t>’</w:t>
      </w:r>
      <w:r w:rsidRPr="00D5504B">
        <w:rPr>
          <w:lang w:val="fr-CH"/>
        </w:rPr>
        <w:t>état du climat;</w:t>
      </w:r>
    </w:p>
    <w:p w14:paraId="3D871A26" w14:textId="4AB331C3" w:rsidR="007348F5" w:rsidRPr="00195EE5" w:rsidRDefault="00224534" w:rsidP="00224534">
      <w:pPr>
        <w:pStyle w:val="WMOBodyText"/>
        <w:ind w:left="567" w:hanging="567"/>
        <w:rPr>
          <w:lang w:val="fr-CH"/>
        </w:rPr>
      </w:pPr>
      <w:r w:rsidRPr="00D5504B">
        <w:rPr>
          <w:lang w:val="fr-CH"/>
        </w:rPr>
        <w:t>3)</w:t>
      </w:r>
      <w:r w:rsidRPr="00D5504B">
        <w:rPr>
          <w:lang w:val="fr-CH"/>
        </w:rPr>
        <w:tab/>
        <w:t>Définir une méthod</w:t>
      </w:r>
      <w:r w:rsidR="002619D6" w:rsidRPr="00D5504B">
        <w:rPr>
          <w:lang w:val="fr-CH"/>
        </w:rPr>
        <w:t>ologi</w:t>
      </w:r>
      <w:r w:rsidRPr="00D5504B">
        <w:rPr>
          <w:lang w:val="fr-CH"/>
        </w:rPr>
        <w:t xml:space="preserve">e et </w:t>
      </w:r>
      <w:r w:rsidR="002619D6" w:rsidRPr="00D5504B">
        <w:rPr>
          <w:lang w:val="fr-CH"/>
        </w:rPr>
        <w:t xml:space="preserve">une procédure </w:t>
      </w:r>
      <w:r w:rsidRPr="00D5504B">
        <w:rPr>
          <w:lang w:val="fr-CH"/>
        </w:rPr>
        <w:t xml:space="preserve">pour </w:t>
      </w:r>
      <w:r w:rsidR="002619D6" w:rsidRPr="00D5504B">
        <w:rPr>
          <w:lang w:val="fr-CH"/>
        </w:rPr>
        <w:t xml:space="preserve">surveiller </w:t>
      </w:r>
      <w:r w:rsidRPr="00D5504B">
        <w:rPr>
          <w:lang w:val="fr-CH"/>
        </w:rPr>
        <w:t>l</w:t>
      </w:r>
      <w:r w:rsidR="005D535C">
        <w:rPr>
          <w:lang w:val="fr-CH"/>
        </w:rPr>
        <w:t>’</w:t>
      </w:r>
      <w:r w:rsidRPr="00D5504B">
        <w:rPr>
          <w:lang w:val="fr-CH"/>
        </w:rPr>
        <w:t xml:space="preserve">évolution des températures mondiales </w:t>
      </w:r>
      <w:r w:rsidR="002619D6" w:rsidRPr="00D5504B">
        <w:rPr>
          <w:lang w:val="fr-CH"/>
        </w:rPr>
        <w:t xml:space="preserve">par rapport aux </w:t>
      </w:r>
      <w:r w:rsidRPr="00D5504B">
        <w:rPr>
          <w:lang w:val="fr-CH"/>
        </w:rPr>
        <w:t>seuils de 1,5</w:t>
      </w:r>
      <w:r w:rsidR="002619D6" w:rsidRPr="00D5504B">
        <w:rPr>
          <w:lang w:val="fr-CH"/>
        </w:rPr>
        <w:t> °C</w:t>
      </w:r>
      <w:r w:rsidRPr="00D5504B">
        <w:rPr>
          <w:lang w:val="fr-CH"/>
        </w:rPr>
        <w:t xml:space="preserve"> et 2</w:t>
      </w:r>
      <w:r w:rsidR="002619D6" w:rsidRPr="00D5504B">
        <w:rPr>
          <w:lang w:val="fr-CH"/>
        </w:rPr>
        <w:t> </w:t>
      </w:r>
      <w:r w:rsidRPr="00D5504B">
        <w:rPr>
          <w:lang w:val="fr-CH"/>
        </w:rPr>
        <w:t xml:space="preserve">°C, et communiquer les résultats </w:t>
      </w:r>
      <w:r w:rsidR="002619D6" w:rsidRPr="00D5504B">
        <w:rPr>
          <w:lang w:val="fr-CH"/>
        </w:rPr>
        <w:t>au sein d</w:t>
      </w:r>
      <w:r w:rsidR="005D535C">
        <w:rPr>
          <w:lang w:val="fr-CH"/>
        </w:rPr>
        <w:t>’</w:t>
      </w:r>
      <w:r w:rsidR="002619D6" w:rsidRPr="00D5504B">
        <w:rPr>
          <w:lang w:val="fr-CH"/>
        </w:rPr>
        <w:t>instances politiques traitant du climat</w:t>
      </w:r>
      <w:r w:rsidRPr="00D5504B">
        <w:rPr>
          <w:lang w:val="fr-CH"/>
        </w:rPr>
        <w:t xml:space="preserve">, </w:t>
      </w:r>
      <w:r w:rsidR="006A5CC5" w:rsidRPr="00D5504B">
        <w:rPr>
          <w:lang w:val="fr-CH"/>
        </w:rPr>
        <w:t xml:space="preserve">telles </w:t>
      </w:r>
      <w:r w:rsidRPr="00D5504B">
        <w:rPr>
          <w:lang w:val="fr-CH"/>
        </w:rPr>
        <w:t>que la Conférence des Parties à la Convention-cadre des Nations Unies sur les changements climatiques (CCNUCC) et l</w:t>
      </w:r>
      <w:r w:rsidR="005D535C">
        <w:rPr>
          <w:lang w:val="fr-CH"/>
        </w:rPr>
        <w:t>’</w:t>
      </w:r>
      <w:r w:rsidRPr="00D5504B">
        <w:rPr>
          <w:lang w:val="fr-CH"/>
        </w:rPr>
        <w:t>Assemblée générale des Nations Unies</w:t>
      </w:r>
      <w:r w:rsidR="00D5504B">
        <w:rPr>
          <w:lang w:val="fr-CH"/>
        </w:rPr>
        <w:t>, entre autres</w:t>
      </w:r>
      <w:r w:rsidRPr="00D5504B">
        <w:rPr>
          <w:lang w:val="fr-CH"/>
        </w:rPr>
        <w:t>.</w:t>
      </w:r>
      <w:r w:rsidRPr="00195EE5">
        <w:rPr>
          <w:lang w:val="fr-CH"/>
        </w:rPr>
        <w:t xml:space="preserve"> </w:t>
      </w:r>
    </w:p>
    <w:p w14:paraId="03030777" w14:textId="1A9E87FF" w:rsidR="007348F5" w:rsidRPr="00195EE5" w:rsidRDefault="00032750" w:rsidP="0044404F">
      <w:pPr>
        <w:pStyle w:val="WMOBodyText"/>
        <w:spacing w:before="600" w:after="360"/>
        <w:rPr>
          <w:b/>
          <w:bCs/>
          <w:lang w:val="fr-CH"/>
        </w:rPr>
      </w:pPr>
      <w:r w:rsidRPr="00195EE5">
        <w:rPr>
          <w:b/>
          <w:bCs/>
          <w:lang w:val="fr-CH"/>
        </w:rPr>
        <w:t>É</w:t>
      </w:r>
      <w:r w:rsidR="007348F5" w:rsidRPr="00195EE5">
        <w:rPr>
          <w:b/>
          <w:bCs/>
          <w:lang w:val="fr-CH"/>
        </w:rPr>
        <w:t>tapes et résultats attendus</w:t>
      </w:r>
      <w:r w:rsidR="007348F5" w:rsidRPr="00195EE5">
        <w:rPr>
          <w:lang w:val="fr-CH"/>
        </w:rPr>
        <w:t xml:space="preserve"> </w:t>
      </w:r>
    </w:p>
    <w:tbl>
      <w:tblPr>
        <w:tblStyle w:val="TableGrid"/>
        <w:tblW w:w="5000" w:type="pct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81"/>
        <w:gridCol w:w="3228"/>
        <w:gridCol w:w="3220"/>
      </w:tblGrid>
      <w:tr w:rsidR="007348F5" w:rsidRPr="00195EE5" w14:paraId="30B3730B" w14:textId="77777777" w:rsidTr="006F7AC6">
        <w:trPr>
          <w:jc w:val="center"/>
        </w:trPr>
        <w:tc>
          <w:tcPr>
            <w:tcW w:w="1652" w:type="pct"/>
          </w:tcPr>
          <w:p w14:paraId="264203AC" w14:textId="77777777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b/>
                <w:bCs/>
                <w:lang w:val="fr-CH"/>
              </w:rPr>
            </w:pPr>
            <w:r w:rsidRPr="00195EE5">
              <w:rPr>
                <w:b/>
                <w:bCs/>
                <w:lang w:val="fr-CH"/>
              </w:rPr>
              <w:t>2024</w:t>
            </w:r>
          </w:p>
        </w:tc>
        <w:tc>
          <w:tcPr>
            <w:tcW w:w="1676" w:type="pct"/>
          </w:tcPr>
          <w:p w14:paraId="4D93B41A" w14:textId="77777777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b/>
                <w:bCs/>
                <w:lang w:val="fr-CH"/>
              </w:rPr>
            </w:pPr>
            <w:r w:rsidRPr="00195EE5">
              <w:rPr>
                <w:b/>
                <w:bCs/>
                <w:lang w:val="fr-CH"/>
              </w:rPr>
              <w:t>Résultat</w:t>
            </w:r>
          </w:p>
        </w:tc>
        <w:tc>
          <w:tcPr>
            <w:tcW w:w="1672" w:type="pct"/>
          </w:tcPr>
          <w:p w14:paraId="36713964" w14:textId="77777777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b/>
                <w:bCs/>
                <w:lang w:val="fr-CH"/>
              </w:rPr>
            </w:pPr>
            <w:r w:rsidRPr="00195EE5">
              <w:rPr>
                <w:b/>
                <w:bCs/>
                <w:lang w:val="fr-CH"/>
              </w:rPr>
              <w:t>Observations</w:t>
            </w:r>
          </w:p>
        </w:tc>
      </w:tr>
      <w:tr w:rsidR="007348F5" w:rsidRPr="006D3615" w14:paraId="2DA7A1D5" w14:textId="77777777" w:rsidTr="006F7AC6">
        <w:trPr>
          <w:jc w:val="center"/>
        </w:trPr>
        <w:tc>
          <w:tcPr>
            <w:tcW w:w="1652" w:type="pct"/>
          </w:tcPr>
          <w:p w14:paraId="6F512BEF" w14:textId="443623BD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>Colloque international</w:t>
            </w:r>
          </w:p>
          <w:p w14:paraId="180F5FD8" w14:textId="4F4A32B7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 xml:space="preserve">(voir la </w:t>
            </w:r>
            <w:hyperlink w:anchor="Notes" w:history="1">
              <w:r w:rsidRPr="00195EE5">
                <w:rPr>
                  <w:rStyle w:val="Hyperlink"/>
                  <w:lang w:val="fr-CH"/>
                </w:rPr>
                <w:t>note 1</w:t>
              </w:r>
            </w:hyperlink>
            <w:r w:rsidRPr="00195EE5">
              <w:rPr>
                <w:lang w:val="fr-CH"/>
              </w:rPr>
              <w:t xml:space="preserve">) </w:t>
            </w:r>
          </w:p>
        </w:tc>
        <w:tc>
          <w:tcPr>
            <w:tcW w:w="1676" w:type="pct"/>
          </w:tcPr>
          <w:p w14:paraId="20DCAA3A" w14:textId="0B695A3E" w:rsidR="007348F5" w:rsidRPr="00195EE5" w:rsidRDefault="00DB5901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>Feuille de route pour l</w:t>
            </w:r>
            <w:r w:rsidR="005D535C">
              <w:rPr>
                <w:lang w:val="fr-CH"/>
              </w:rPr>
              <w:t>’</w:t>
            </w:r>
            <w:r w:rsidR="006A5CC5" w:rsidRPr="00195EE5">
              <w:rPr>
                <w:lang w:val="fr-CH"/>
              </w:rPr>
              <w:t xml:space="preserve">actualisation des </w:t>
            </w:r>
            <w:r w:rsidRPr="00195EE5">
              <w:rPr>
                <w:lang w:val="fr-CH"/>
              </w:rPr>
              <w:t>rapport</w:t>
            </w:r>
            <w:r w:rsidR="006A5CC5" w:rsidRPr="00195EE5">
              <w:rPr>
                <w:lang w:val="fr-CH"/>
              </w:rPr>
              <w:t>s</w:t>
            </w:r>
            <w:r w:rsidRPr="00195EE5">
              <w:rPr>
                <w:lang w:val="fr-CH"/>
              </w:rPr>
              <w:t xml:space="preserve"> sur l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>état du climat</w:t>
            </w:r>
          </w:p>
        </w:tc>
        <w:tc>
          <w:tcPr>
            <w:tcW w:w="1672" w:type="pct"/>
          </w:tcPr>
          <w:p w14:paraId="4C7B34DB" w14:textId="191E5F38" w:rsidR="007348F5" w:rsidRPr="00195EE5" w:rsidRDefault="00A471DC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 xml:space="preserve">Coordination </w:t>
            </w:r>
            <w:r w:rsidR="006A5CC5" w:rsidRPr="00195EE5">
              <w:rPr>
                <w:lang w:val="fr-CH"/>
              </w:rPr>
              <w:t xml:space="preserve">assurée </w:t>
            </w:r>
            <w:r w:rsidRPr="00195EE5">
              <w:rPr>
                <w:lang w:val="fr-CH"/>
              </w:rPr>
              <w:t>par le Secrétariat de l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 xml:space="preserve">OMM </w:t>
            </w:r>
          </w:p>
        </w:tc>
      </w:tr>
      <w:tr w:rsidR="007348F5" w:rsidRPr="006D3615" w14:paraId="1E62E96C" w14:textId="77777777" w:rsidTr="006F7AC6">
        <w:trPr>
          <w:jc w:val="center"/>
        </w:trPr>
        <w:tc>
          <w:tcPr>
            <w:tcW w:w="1652" w:type="pct"/>
            <w:vMerge w:val="restart"/>
          </w:tcPr>
          <w:p w14:paraId="12F82DEA" w14:textId="5CCBC866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 xml:space="preserve">Équipe spéciale sur </w:t>
            </w:r>
            <w:r w:rsidR="006A5CC5" w:rsidRPr="00195EE5">
              <w:rPr>
                <w:lang w:val="fr-CH"/>
              </w:rPr>
              <w:t xml:space="preserve">la surveillance </w:t>
            </w:r>
            <w:r w:rsidRPr="00195EE5">
              <w:rPr>
                <w:lang w:val="fr-CH"/>
              </w:rPr>
              <w:t xml:space="preserve">des seuils </w:t>
            </w:r>
            <w:r w:rsidR="006A5CC5" w:rsidRPr="00195EE5">
              <w:rPr>
                <w:lang w:val="fr-CH"/>
              </w:rPr>
              <w:t>de </w:t>
            </w:r>
            <w:r w:rsidRPr="00195EE5">
              <w:rPr>
                <w:lang w:val="fr-CH"/>
              </w:rPr>
              <w:t>1,5/2</w:t>
            </w:r>
            <w:r w:rsidR="006A5CC5" w:rsidRPr="00195EE5">
              <w:rPr>
                <w:lang w:val="fr-CH"/>
              </w:rPr>
              <w:t> </w:t>
            </w:r>
            <w:r w:rsidRPr="00195EE5">
              <w:rPr>
                <w:lang w:val="fr-CH"/>
              </w:rPr>
              <w:t>°C</w:t>
            </w:r>
          </w:p>
          <w:p w14:paraId="56063310" w14:textId="317D1E1D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 xml:space="preserve">(voir la </w:t>
            </w:r>
            <w:hyperlink w:anchor="Notes" w:history="1">
              <w:r w:rsidRPr="00195EE5">
                <w:rPr>
                  <w:rStyle w:val="Hyperlink"/>
                  <w:lang w:val="fr-CH"/>
                </w:rPr>
                <w:t>note 2</w:t>
              </w:r>
            </w:hyperlink>
            <w:r w:rsidRPr="00195EE5">
              <w:rPr>
                <w:lang w:val="fr-CH"/>
              </w:rPr>
              <w:t xml:space="preserve">) </w:t>
            </w:r>
          </w:p>
        </w:tc>
        <w:tc>
          <w:tcPr>
            <w:tcW w:w="1676" w:type="pct"/>
          </w:tcPr>
          <w:p w14:paraId="46E1CA79" w14:textId="0D97C3D6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 xml:space="preserve">Méthodologie convenue pour </w:t>
            </w:r>
            <w:r w:rsidR="006A5CC5" w:rsidRPr="00195EE5">
              <w:rPr>
                <w:lang w:val="fr-CH"/>
              </w:rPr>
              <w:t xml:space="preserve">la surveillance </w:t>
            </w:r>
            <w:r w:rsidRPr="00195EE5">
              <w:rPr>
                <w:lang w:val="fr-CH"/>
              </w:rPr>
              <w:t xml:space="preserve">de la température mondiale et de </w:t>
            </w:r>
            <w:r w:rsidR="006A5CC5" w:rsidRPr="00195EE5">
              <w:rPr>
                <w:lang w:val="fr-CH"/>
              </w:rPr>
              <w:t xml:space="preserve">sa progression vers </w:t>
            </w:r>
            <w:r w:rsidRPr="00195EE5">
              <w:rPr>
                <w:lang w:val="fr-CH"/>
              </w:rPr>
              <w:t>les seuils de 1,5</w:t>
            </w:r>
            <w:r w:rsidR="006A5CC5" w:rsidRPr="00195EE5">
              <w:rPr>
                <w:lang w:val="fr-CH"/>
              </w:rPr>
              <w:t> °C</w:t>
            </w:r>
            <w:r w:rsidRPr="00195EE5">
              <w:rPr>
                <w:lang w:val="fr-CH"/>
              </w:rPr>
              <w:t xml:space="preserve"> et 2</w:t>
            </w:r>
            <w:r w:rsidR="006A5CC5" w:rsidRPr="00195EE5">
              <w:rPr>
                <w:lang w:val="fr-CH"/>
              </w:rPr>
              <w:t> </w:t>
            </w:r>
            <w:r w:rsidRPr="00195EE5">
              <w:rPr>
                <w:lang w:val="fr-CH"/>
              </w:rPr>
              <w:t>°C</w:t>
            </w:r>
          </w:p>
        </w:tc>
        <w:tc>
          <w:tcPr>
            <w:tcW w:w="1672" w:type="pct"/>
          </w:tcPr>
          <w:p w14:paraId="5F215FBE" w14:textId="51EDA4A9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 xml:space="preserve">À </w:t>
            </w:r>
            <w:r w:rsidR="006A5CC5" w:rsidRPr="00195EE5">
              <w:rPr>
                <w:lang w:val="fr-CH"/>
              </w:rPr>
              <w:t>définir</w:t>
            </w:r>
            <w:r w:rsidRPr="00195EE5">
              <w:rPr>
                <w:lang w:val="fr-CH"/>
              </w:rPr>
              <w:t xml:space="preserve"> par la SERCOM</w:t>
            </w:r>
            <w:r w:rsidR="006A5CC5" w:rsidRPr="00195EE5">
              <w:rPr>
                <w:lang w:val="fr-CH"/>
              </w:rPr>
              <w:t xml:space="preserve"> à sa </w:t>
            </w:r>
            <w:r w:rsidRPr="00195EE5">
              <w:rPr>
                <w:lang w:val="fr-CH"/>
              </w:rPr>
              <w:t>3</w:t>
            </w:r>
            <w:r w:rsidR="006A5CC5" w:rsidRPr="00195EE5">
              <w:rPr>
                <w:vertAlign w:val="superscript"/>
                <w:lang w:val="fr-CH"/>
              </w:rPr>
              <w:t>e</w:t>
            </w:r>
            <w:r w:rsidR="006A5CC5" w:rsidRPr="00195EE5">
              <w:rPr>
                <w:lang w:val="fr-CH"/>
              </w:rPr>
              <w:t> session</w:t>
            </w:r>
          </w:p>
        </w:tc>
      </w:tr>
      <w:tr w:rsidR="007348F5" w:rsidRPr="006D3615" w14:paraId="572C6681" w14:textId="77777777" w:rsidTr="006F7AC6">
        <w:trPr>
          <w:jc w:val="center"/>
        </w:trPr>
        <w:tc>
          <w:tcPr>
            <w:tcW w:w="1652" w:type="pct"/>
            <w:vMerge/>
          </w:tcPr>
          <w:p w14:paraId="53A18F34" w14:textId="77777777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</w:p>
        </w:tc>
        <w:tc>
          <w:tcPr>
            <w:tcW w:w="1676" w:type="pct"/>
          </w:tcPr>
          <w:p w14:paraId="77FF95DA" w14:textId="43856528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 xml:space="preserve">Présentation des premiers résultats à la COP-29, </w:t>
            </w:r>
            <w:r w:rsidR="006A5CC5" w:rsidRPr="00195EE5">
              <w:rPr>
                <w:lang w:val="fr-CH"/>
              </w:rPr>
              <w:t>en</w:t>
            </w:r>
            <w:r w:rsidR="004B0349">
              <w:rPr>
                <w:lang w:val="en-CH"/>
              </w:rPr>
              <w:t> </w:t>
            </w:r>
            <w:r w:rsidRPr="00195EE5">
              <w:rPr>
                <w:lang w:val="fr-CH"/>
              </w:rPr>
              <w:t>novembre 2024</w:t>
            </w:r>
          </w:p>
        </w:tc>
        <w:tc>
          <w:tcPr>
            <w:tcW w:w="1672" w:type="pct"/>
          </w:tcPr>
          <w:p w14:paraId="2324D5D7" w14:textId="497E52D1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>Les résultats seront soumis conjointement à la COP par l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>OMM, le GIEC et d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>autres groupes en utilisant les canaux de communication habituels de l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>OMM</w:t>
            </w:r>
          </w:p>
        </w:tc>
      </w:tr>
      <w:tr w:rsidR="007348F5" w:rsidRPr="006D3615" w14:paraId="5618B493" w14:textId="77777777" w:rsidTr="006F7AC6">
        <w:trPr>
          <w:jc w:val="center"/>
        </w:trPr>
        <w:tc>
          <w:tcPr>
            <w:tcW w:w="1652" w:type="pct"/>
            <w:vMerge w:val="restart"/>
          </w:tcPr>
          <w:p w14:paraId="137CCD09" w14:textId="00DC176D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b/>
                <w:bCs/>
                <w:lang w:val="fr-CH"/>
              </w:rPr>
            </w:pPr>
            <w:r w:rsidRPr="00195EE5">
              <w:rPr>
                <w:b/>
                <w:bCs/>
                <w:lang w:val="fr-CH"/>
              </w:rPr>
              <w:t>2025</w:t>
            </w:r>
            <w:r w:rsidRPr="00195EE5">
              <w:rPr>
                <w:lang w:val="fr-CH"/>
              </w:rPr>
              <w:t xml:space="preserve"> </w:t>
            </w:r>
          </w:p>
        </w:tc>
        <w:tc>
          <w:tcPr>
            <w:tcW w:w="1676" w:type="pct"/>
          </w:tcPr>
          <w:p w14:paraId="35D288AB" w14:textId="1CEF4F4A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>Le Conseil exécutif se prononce sur la feuille de route pour l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>actualisation des rapports sur l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>état du climat</w:t>
            </w:r>
          </w:p>
        </w:tc>
        <w:tc>
          <w:tcPr>
            <w:tcW w:w="1672" w:type="pct"/>
          </w:tcPr>
          <w:p w14:paraId="68D1DD03" w14:textId="510A030F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 xml:space="preserve">La feuille de route sera </w:t>
            </w:r>
            <w:r w:rsidR="006A5CC5" w:rsidRPr="00195EE5">
              <w:rPr>
                <w:lang w:val="fr-CH"/>
              </w:rPr>
              <w:t xml:space="preserve">présentée </w:t>
            </w:r>
            <w:r w:rsidRPr="00195EE5">
              <w:rPr>
                <w:lang w:val="fr-CH"/>
              </w:rPr>
              <w:t>par l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>intermédiaire des conseillers en politique climatique</w:t>
            </w:r>
          </w:p>
        </w:tc>
      </w:tr>
      <w:tr w:rsidR="007348F5" w:rsidRPr="006D3615" w14:paraId="6A718DEB" w14:textId="77777777" w:rsidTr="006F7AC6">
        <w:trPr>
          <w:jc w:val="center"/>
        </w:trPr>
        <w:tc>
          <w:tcPr>
            <w:tcW w:w="1652" w:type="pct"/>
            <w:vMerge/>
          </w:tcPr>
          <w:p w14:paraId="0CD4483E" w14:textId="77777777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</w:p>
        </w:tc>
        <w:tc>
          <w:tcPr>
            <w:tcW w:w="1676" w:type="pct"/>
          </w:tcPr>
          <w:p w14:paraId="46E42806" w14:textId="6346AA80" w:rsidR="007348F5" w:rsidRPr="00195EE5" w:rsidRDefault="007348F5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>Démarrage de la mise en œuvre de la feuille de route pour l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>actualisation des rapports sur l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>état du climat</w:t>
            </w:r>
          </w:p>
        </w:tc>
        <w:tc>
          <w:tcPr>
            <w:tcW w:w="1672" w:type="pct"/>
          </w:tcPr>
          <w:p w14:paraId="39E03C2E" w14:textId="0F7A65C6" w:rsidR="007348F5" w:rsidRPr="00195EE5" w:rsidRDefault="005C0D77" w:rsidP="0044404F">
            <w:pPr>
              <w:pStyle w:val="WMOBodyText"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>Le Secrétariat de l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>OMM, en collaboration avec les experts compétents du Comité permanent des services climatologiques (SC-CLI) et d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 xml:space="preserve">autres partenaires </w:t>
            </w:r>
          </w:p>
        </w:tc>
      </w:tr>
      <w:tr w:rsidR="007348F5" w:rsidRPr="006D3615" w14:paraId="7D088854" w14:textId="77777777" w:rsidTr="006F7AC6">
        <w:trPr>
          <w:jc w:val="center"/>
        </w:trPr>
        <w:tc>
          <w:tcPr>
            <w:tcW w:w="1652" w:type="pct"/>
          </w:tcPr>
          <w:p w14:paraId="215E6F14" w14:textId="44F563EE" w:rsidR="007348F5" w:rsidRPr="00195EE5" w:rsidRDefault="007348F5" w:rsidP="0044404F">
            <w:pPr>
              <w:pStyle w:val="WMOBodyText"/>
              <w:keepNext/>
              <w:spacing w:before="100" w:after="100"/>
              <w:jc w:val="left"/>
              <w:rPr>
                <w:b/>
                <w:bCs/>
                <w:lang w:val="fr-CH"/>
              </w:rPr>
            </w:pPr>
            <w:r w:rsidRPr="00195EE5">
              <w:rPr>
                <w:b/>
                <w:bCs/>
                <w:lang w:val="fr-CH"/>
              </w:rPr>
              <w:lastRenderedPageBreak/>
              <w:t>2025</w:t>
            </w:r>
            <w:r w:rsidR="006A5CC5" w:rsidRPr="00195EE5">
              <w:rPr>
                <w:b/>
                <w:bCs/>
                <w:lang w:val="fr-CH"/>
              </w:rPr>
              <w:t>–</w:t>
            </w:r>
            <w:r w:rsidRPr="00195EE5">
              <w:rPr>
                <w:b/>
                <w:bCs/>
                <w:lang w:val="fr-CH"/>
              </w:rPr>
              <w:t>2027</w:t>
            </w:r>
          </w:p>
        </w:tc>
        <w:tc>
          <w:tcPr>
            <w:tcW w:w="1676" w:type="pct"/>
          </w:tcPr>
          <w:p w14:paraId="3ED80BA9" w14:textId="13C8C3F8" w:rsidR="007348F5" w:rsidRPr="00195EE5" w:rsidRDefault="007348F5" w:rsidP="0044404F">
            <w:pPr>
              <w:pStyle w:val="WMOBodyText"/>
              <w:keepNext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>Démarrage de la mise en</w:t>
            </w:r>
            <w:r w:rsidR="008E113E">
              <w:rPr>
                <w:lang w:val="en-CH"/>
              </w:rPr>
              <w:t> </w:t>
            </w:r>
            <w:r w:rsidRPr="00195EE5">
              <w:rPr>
                <w:lang w:val="fr-CH"/>
              </w:rPr>
              <w:t>œuvre de la composante régionale de la feuille de route (par exemple, les</w:t>
            </w:r>
            <w:r w:rsidR="008E113E">
              <w:rPr>
                <w:lang w:val="en-CH"/>
              </w:rPr>
              <w:t> </w:t>
            </w:r>
            <w:r w:rsidRPr="00195EE5">
              <w:rPr>
                <w:lang w:val="fr-CH"/>
              </w:rPr>
              <w:t>rapports sur l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>état du climat régional)</w:t>
            </w:r>
          </w:p>
        </w:tc>
        <w:tc>
          <w:tcPr>
            <w:tcW w:w="1672" w:type="pct"/>
          </w:tcPr>
          <w:p w14:paraId="0144317C" w14:textId="3A276D27" w:rsidR="007348F5" w:rsidRPr="00195EE5" w:rsidRDefault="007348F5" w:rsidP="0044404F">
            <w:pPr>
              <w:pStyle w:val="WMOBodyText"/>
              <w:keepNext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>Décision des conseils régionaux</w:t>
            </w:r>
          </w:p>
          <w:p w14:paraId="302B026B" w14:textId="323708C9" w:rsidR="007348F5" w:rsidRPr="00195EE5" w:rsidRDefault="007348F5" w:rsidP="0044404F">
            <w:pPr>
              <w:pStyle w:val="WMOBodyText"/>
              <w:keepNext/>
              <w:spacing w:before="100" w:after="100"/>
              <w:jc w:val="left"/>
              <w:rPr>
                <w:lang w:val="fr-CH"/>
              </w:rPr>
            </w:pPr>
            <w:r w:rsidRPr="00195EE5">
              <w:rPr>
                <w:lang w:val="fr-CH"/>
              </w:rPr>
              <w:t>Bureaux régionaux de l</w:t>
            </w:r>
            <w:r w:rsidR="005D535C">
              <w:rPr>
                <w:lang w:val="fr-CH"/>
              </w:rPr>
              <w:t>’</w:t>
            </w:r>
            <w:r w:rsidRPr="00195EE5">
              <w:rPr>
                <w:lang w:val="fr-CH"/>
              </w:rPr>
              <w:t>OMM, en collaboration avec les centres climatologiques régionaux et les organes subsidiaires régionaux compétents</w:t>
            </w:r>
          </w:p>
        </w:tc>
      </w:tr>
    </w:tbl>
    <w:p w14:paraId="4B62F277" w14:textId="4ED41315" w:rsidR="00134BD9" w:rsidRPr="00195EE5" w:rsidRDefault="00134BD9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</w:p>
    <w:p w14:paraId="2DFCAFB3" w14:textId="77777777" w:rsidR="007348F5" w:rsidRPr="00195EE5" w:rsidRDefault="007348F5" w:rsidP="007348F5">
      <w:pPr>
        <w:pStyle w:val="WMOBodyText"/>
        <w:rPr>
          <w:b/>
          <w:bCs/>
          <w:lang w:val="fr-CH"/>
        </w:rPr>
      </w:pPr>
      <w:bookmarkStart w:id="19" w:name="Notes"/>
      <w:r w:rsidRPr="00195EE5">
        <w:rPr>
          <w:b/>
          <w:bCs/>
          <w:lang w:val="fr-CH"/>
        </w:rPr>
        <w:t>Notes:</w:t>
      </w:r>
      <w:bookmarkEnd w:id="19"/>
    </w:p>
    <w:p w14:paraId="51ED3227" w14:textId="2927D66E" w:rsidR="007348F5" w:rsidRPr="00195EE5" w:rsidRDefault="00A471DC">
      <w:pPr>
        <w:pStyle w:val="WMOBodyText"/>
        <w:numPr>
          <w:ilvl w:val="0"/>
          <w:numId w:val="1"/>
        </w:numPr>
        <w:ind w:left="567" w:hanging="567"/>
        <w:rPr>
          <w:lang w:val="fr-CH"/>
        </w:rPr>
      </w:pPr>
      <w:r w:rsidRPr="00195EE5">
        <w:rPr>
          <w:lang w:val="fr-CH"/>
        </w:rPr>
        <w:t>Le colloque international sur l</w:t>
      </w:r>
      <w:r w:rsidR="005D535C">
        <w:rPr>
          <w:lang w:val="fr-CH"/>
        </w:rPr>
        <w:t>’</w:t>
      </w:r>
      <w:r w:rsidRPr="00195EE5">
        <w:rPr>
          <w:lang w:val="fr-CH"/>
        </w:rPr>
        <w:t>actualisation des rapports sur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état du climat réfléchira à des solutions pour améliorer </w:t>
      </w:r>
      <w:r w:rsidR="006A5CC5" w:rsidRPr="00195EE5">
        <w:rPr>
          <w:lang w:val="fr-CH"/>
        </w:rPr>
        <w:t>la procédure d</w:t>
      </w:r>
      <w:r w:rsidR="005D535C">
        <w:rPr>
          <w:lang w:val="fr-CH"/>
        </w:rPr>
        <w:t>’</w:t>
      </w:r>
      <w:r w:rsidR="006A5CC5" w:rsidRPr="00195EE5">
        <w:rPr>
          <w:lang w:val="fr-CH"/>
        </w:rPr>
        <w:t>élaboration, de révision et d</w:t>
      </w:r>
      <w:r w:rsidR="005D535C">
        <w:rPr>
          <w:lang w:val="fr-CH"/>
        </w:rPr>
        <w:t>’</w:t>
      </w:r>
      <w:r w:rsidR="006A5CC5" w:rsidRPr="00195EE5">
        <w:rPr>
          <w:lang w:val="fr-CH"/>
        </w:rPr>
        <w:t xml:space="preserve">harmonisation des différents rapports, </w:t>
      </w:r>
      <w:r w:rsidRPr="00195EE5">
        <w:rPr>
          <w:lang w:val="fr-CH"/>
        </w:rPr>
        <w:t>ainsi que leur rapport coût-efficacité (date: juillet 2024)</w:t>
      </w:r>
      <w:r w:rsidR="00A0525B">
        <w:rPr>
          <w:lang w:val="en-CH"/>
        </w:rPr>
        <w:t>.</w:t>
      </w:r>
      <w:r w:rsidRPr="00195EE5">
        <w:rPr>
          <w:lang w:val="fr-CH"/>
        </w:rPr>
        <w:t xml:space="preserve"> </w:t>
      </w:r>
      <w:r w:rsidR="006A5CC5" w:rsidRPr="00195EE5">
        <w:rPr>
          <w:lang w:val="fr-CH"/>
        </w:rPr>
        <w:t>Une</w:t>
      </w:r>
      <w:r w:rsidR="00A0525B">
        <w:rPr>
          <w:lang w:val="en-CH"/>
        </w:rPr>
        <w:t> </w:t>
      </w:r>
      <w:r w:rsidR="006A5CC5" w:rsidRPr="00195EE5">
        <w:rPr>
          <w:lang w:val="fr-CH"/>
        </w:rPr>
        <w:t xml:space="preserve">réflexion sera également menée </w:t>
      </w:r>
      <w:r w:rsidR="00E23627" w:rsidRPr="00195EE5">
        <w:rPr>
          <w:lang w:val="fr-CH"/>
        </w:rPr>
        <w:t>afin d</w:t>
      </w:r>
      <w:r w:rsidR="005D535C">
        <w:rPr>
          <w:lang w:val="fr-CH"/>
        </w:rPr>
        <w:t>’</w:t>
      </w:r>
      <w:r w:rsidR="00E23627" w:rsidRPr="00195EE5">
        <w:rPr>
          <w:lang w:val="fr-CH"/>
        </w:rPr>
        <w:t>optimiser l</w:t>
      </w:r>
      <w:r w:rsidRPr="00195EE5">
        <w:rPr>
          <w:lang w:val="fr-CH"/>
        </w:rPr>
        <w:t>es efforts déployés pour produire le</w:t>
      </w:r>
      <w:r w:rsidR="006A5CC5" w:rsidRPr="00195EE5">
        <w:rPr>
          <w:lang w:val="fr-CH"/>
        </w:rPr>
        <w:t>s</w:t>
      </w:r>
      <w:r w:rsidRPr="00195EE5">
        <w:rPr>
          <w:lang w:val="fr-CH"/>
        </w:rPr>
        <w:t xml:space="preserve"> rapport</w:t>
      </w:r>
      <w:r w:rsidR="006A5CC5" w:rsidRPr="00195EE5">
        <w:rPr>
          <w:lang w:val="fr-CH"/>
        </w:rPr>
        <w:t>s</w:t>
      </w:r>
      <w:r w:rsidRPr="00195EE5">
        <w:rPr>
          <w:lang w:val="fr-CH"/>
        </w:rPr>
        <w:t xml:space="preserve"> sur l</w:t>
      </w:r>
      <w:r w:rsidR="005D535C">
        <w:rPr>
          <w:lang w:val="fr-CH"/>
        </w:rPr>
        <w:t>’</w:t>
      </w:r>
      <w:r w:rsidRPr="00195EE5">
        <w:rPr>
          <w:lang w:val="fr-CH"/>
        </w:rPr>
        <w:t>état du climat</w:t>
      </w:r>
      <w:r w:rsidR="006A5CC5" w:rsidRPr="00195EE5">
        <w:rPr>
          <w:lang w:val="fr-CH"/>
        </w:rPr>
        <w:t xml:space="preserve"> à l</w:t>
      </w:r>
      <w:r w:rsidR="005D535C">
        <w:rPr>
          <w:lang w:val="fr-CH"/>
        </w:rPr>
        <w:t>’</w:t>
      </w:r>
      <w:r w:rsidR="006A5CC5" w:rsidRPr="00195EE5">
        <w:rPr>
          <w:lang w:val="fr-CH"/>
        </w:rPr>
        <w:t>échelle mondiale et régionale</w:t>
      </w:r>
      <w:r w:rsidRPr="00195EE5">
        <w:rPr>
          <w:lang w:val="fr-CH"/>
        </w:rPr>
        <w:t xml:space="preserve">, le rapport </w:t>
      </w:r>
      <w:r w:rsidRPr="00195EE5">
        <w:rPr>
          <w:i/>
          <w:iCs/>
          <w:lang w:val="fr-CH"/>
        </w:rPr>
        <w:t>Unis autour de la science</w:t>
      </w:r>
      <w:r w:rsidRPr="00195EE5">
        <w:rPr>
          <w:lang w:val="fr-CH"/>
        </w:rPr>
        <w:t>, le rapport sur l</w:t>
      </w:r>
      <w:r w:rsidR="005D535C">
        <w:rPr>
          <w:lang w:val="fr-CH"/>
        </w:rPr>
        <w:t>’</w:t>
      </w:r>
      <w:r w:rsidRPr="00195EE5">
        <w:rPr>
          <w:lang w:val="fr-CH"/>
        </w:rPr>
        <w:t>état des services climatologiques et le rapport sur l</w:t>
      </w:r>
      <w:r w:rsidR="005D535C">
        <w:rPr>
          <w:lang w:val="fr-CH"/>
        </w:rPr>
        <w:t>’</w:t>
      </w:r>
      <w:r w:rsidRPr="00195EE5">
        <w:rPr>
          <w:lang w:val="fr-CH"/>
        </w:rPr>
        <w:t xml:space="preserve">état des ressources en eau. </w:t>
      </w:r>
    </w:p>
    <w:p w14:paraId="13A9F0FD" w14:textId="71C3F7EB" w:rsidR="007348F5" w:rsidRPr="00195EE5" w:rsidRDefault="00E23627">
      <w:pPr>
        <w:pStyle w:val="WMOBodyText"/>
        <w:numPr>
          <w:ilvl w:val="0"/>
          <w:numId w:val="1"/>
        </w:numPr>
        <w:ind w:left="567" w:hanging="567"/>
        <w:rPr>
          <w:lang w:val="fr-CH"/>
        </w:rPr>
      </w:pPr>
      <w:r w:rsidRPr="00195EE5">
        <w:rPr>
          <w:lang w:val="fr-CH"/>
        </w:rPr>
        <w:t>Cette É</w:t>
      </w:r>
      <w:r w:rsidR="00A471DC" w:rsidRPr="00195EE5">
        <w:rPr>
          <w:lang w:val="fr-CH"/>
        </w:rPr>
        <w:t>quipe spéciale relèvera du Comité permanent des services climatologiques et devrait comprendre des représentants du GIEC, du Système mondial d</w:t>
      </w:r>
      <w:r w:rsidR="005D535C">
        <w:rPr>
          <w:lang w:val="fr-CH"/>
        </w:rPr>
        <w:t>’</w:t>
      </w:r>
      <w:r w:rsidR="00A471DC" w:rsidRPr="00195EE5">
        <w:rPr>
          <w:lang w:val="fr-CH"/>
        </w:rPr>
        <w:t>observation du climat (SMOC)</w:t>
      </w:r>
      <w:r w:rsidRPr="00195EE5">
        <w:rPr>
          <w:lang w:val="fr-CH"/>
        </w:rPr>
        <w:t xml:space="preserve"> et</w:t>
      </w:r>
      <w:r w:rsidR="00A471DC" w:rsidRPr="00195EE5">
        <w:rPr>
          <w:lang w:val="fr-CH"/>
        </w:rPr>
        <w:t xml:space="preserve"> du Programme mondial de recherche sur le climat (PMRC)</w:t>
      </w:r>
      <w:r w:rsidRPr="00195EE5">
        <w:rPr>
          <w:lang w:val="fr-CH"/>
        </w:rPr>
        <w:t>,</w:t>
      </w:r>
      <w:r w:rsidR="00A471DC" w:rsidRPr="00195EE5">
        <w:rPr>
          <w:lang w:val="fr-CH"/>
        </w:rPr>
        <w:t xml:space="preserve"> et d</w:t>
      </w:r>
      <w:r w:rsidR="005D535C">
        <w:rPr>
          <w:lang w:val="fr-CH"/>
        </w:rPr>
        <w:t>’</w:t>
      </w:r>
      <w:r w:rsidR="00A471DC" w:rsidRPr="00195EE5">
        <w:rPr>
          <w:lang w:val="fr-CH"/>
        </w:rPr>
        <w:t>autres experts internationaux.</w:t>
      </w:r>
    </w:p>
    <w:p w14:paraId="798EE62F" w14:textId="42BB0CF4" w:rsidR="0037222D" w:rsidRPr="00195EE5" w:rsidRDefault="00731792" w:rsidP="00731792">
      <w:pPr>
        <w:pStyle w:val="WMOBodyText"/>
        <w:jc w:val="center"/>
        <w:rPr>
          <w:lang w:val="fr-CH"/>
        </w:rPr>
      </w:pPr>
      <w:r w:rsidRPr="00195EE5">
        <w:rPr>
          <w:lang w:val="fr-CH"/>
        </w:rPr>
        <w:t>__________</w:t>
      </w:r>
    </w:p>
    <w:sectPr w:rsidR="0037222D" w:rsidRPr="00195EE5" w:rsidSect="006B6E21">
      <w:headerReference w:type="even" r:id="rId15"/>
      <w:headerReference w:type="default" r:id="rId16"/>
      <w:headerReference w:type="first" r:id="rId17"/>
      <w:pgSz w:w="11907" w:h="16840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5012" w14:textId="77777777" w:rsidR="00420F06" w:rsidRDefault="00420F06">
      <w:r>
        <w:separator/>
      </w:r>
    </w:p>
    <w:p w14:paraId="17EB7F15" w14:textId="77777777" w:rsidR="00420F06" w:rsidRDefault="00420F06"/>
    <w:p w14:paraId="4077197A" w14:textId="77777777" w:rsidR="00420F06" w:rsidRDefault="00420F06"/>
  </w:endnote>
  <w:endnote w:type="continuationSeparator" w:id="0">
    <w:p w14:paraId="46579237" w14:textId="77777777" w:rsidR="00420F06" w:rsidRDefault="00420F06">
      <w:r>
        <w:continuationSeparator/>
      </w:r>
    </w:p>
    <w:p w14:paraId="28910F9D" w14:textId="77777777" w:rsidR="00420F06" w:rsidRDefault="00420F06"/>
    <w:p w14:paraId="6010C663" w14:textId="77777777" w:rsidR="00420F06" w:rsidRDefault="00420F06"/>
  </w:endnote>
  <w:endnote w:type="continuationNotice" w:id="1">
    <w:p w14:paraId="1A14D36F" w14:textId="77777777" w:rsidR="00420F06" w:rsidRDefault="00420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F456" w14:textId="77777777" w:rsidR="00420F06" w:rsidRDefault="00420F06">
      <w:r>
        <w:separator/>
      </w:r>
    </w:p>
  </w:footnote>
  <w:footnote w:type="continuationSeparator" w:id="0">
    <w:p w14:paraId="0B780D32" w14:textId="77777777" w:rsidR="00420F06" w:rsidRDefault="00420F06">
      <w:r>
        <w:continuationSeparator/>
      </w:r>
    </w:p>
    <w:p w14:paraId="179EF0DD" w14:textId="77777777" w:rsidR="00420F06" w:rsidRDefault="00420F06"/>
    <w:p w14:paraId="478AFC84" w14:textId="77777777" w:rsidR="00420F06" w:rsidRDefault="00420F06"/>
  </w:footnote>
  <w:footnote w:type="continuationNotice" w:id="1">
    <w:p w14:paraId="1A81F1A3" w14:textId="77777777" w:rsidR="00420F06" w:rsidRDefault="00420F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0A36" w14:textId="77777777" w:rsidR="00D26529" w:rsidRDefault="006D3615">
    <w:pPr>
      <w:pStyle w:val="Header"/>
    </w:pPr>
    <w:r>
      <w:rPr>
        <w:noProof/>
      </w:rPr>
      <w:pict w14:anchorId="277A791A">
        <v:shapetype id="_x0000_m110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084963E">
        <v:shape id="_x0000_s1077" type="#_x0000_m1106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3DA9CBF" w14:textId="77777777" w:rsidR="004E5206" w:rsidRDefault="004E5206"/>
  <w:p w14:paraId="04BC3125" w14:textId="77777777" w:rsidR="00D26529" w:rsidRDefault="006D3615">
    <w:pPr>
      <w:pStyle w:val="Header"/>
    </w:pPr>
    <w:r>
      <w:rPr>
        <w:noProof/>
      </w:rPr>
      <w:pict w14:anchorId="19847A0E">
        <v:shapetype id="_x0000_m110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A4B210A">
        <v:shape id="_x0000_s1079" type="#_x0000_m1105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2B5FF2E" w14:textId="77777777" w:rsidR="004E5206" w:rsidRDefault="004E5206"/>
  <w:p w14:paraId="5B0B5E07" w14:textId="77777777" w:rsidR="00D26529" w:rsidRDefault="006D3615">
    <w:pPr>
      <w:pStyle w:val="Header"/>
    </w:pPr>
    <w:r>
      <w:rPr>
        <w:noProof/>
      </w:rPr>
      <w:pict w14:anchorId="7F3F27B7">
        <v:shapetype id="_x0000_m110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4E38254">
        <v:shape id="_x0000_s1081" type="#_x0000_m1104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E2315F9" w14:textId="77777777" w:rsidR="004E5206" w:rsidRDefault="004E5206"/>
  <w:p w14:paraId="030ECCB9" w14:textId="77777777" w:rsidR="004C1F94" w:rsidRDefault="006D3615">
    <w:pPr>
      <w:pStyle w:val="Header"/>
    </w:pPr>
    <w:r>
      <w:rPr>
        <w:noProof/>
      </w:rPr>
      <w:pict w14:anchorId="170BAB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98" type="#_x0000_t75" style="position:absolute;left:0;text-align:left;margin-left:0;margin-top:0;width:50pt;height:50pt;z-index:251649024;visibility:hidden">
          <v:path gradientshapeok="f"/>
          <o:lock v:ext="edit" selection="t"/>
        </v:shape>
      </w:pict>
    </w:r>
    <w:r>
      <w:pict w14:anchorId="35B5B52E">
        <v:shapetype id="_x0000_m110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6F47404">
        <v:shape id="WordPictureWatermark835936646" o:spid="_x0000_s1096" type="#_x0000_m1103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9D091D2" w14:textId="77777777" w:rsidR="00D26529" w:rsidRDefault="00D26529"/>
  <w:p w14:paraId="0177237A" w14:textId="77777777" w:rsidR="005C3FC8" w:rsidRDefault="006D3615">
    <w:pPr>
      <w:pStyle w:val="Header"/>
    </w:pPr>
    <w:r>
      <w:rPr>
        <w:noProof/>
      </w:rPr>
      <w:pict w14:anchorId="3B1369D0">
        <v:shape id="_x0000_s1076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72CF186A">
        <v:shape id="_x0000_s1095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</w:p>
  <w:p w14:paraId="52989EF0" w14:textId="77777777" w:rsidR="004C1F94" w:rsidRDefault="004C1F94"/>
  <w:p w14:paraId="4416500E" w14:textId="77777777" w:rsidR="00C70C3C" w:rsidRDefault="006D3615">
    <w:pPr>
      <w:pStyle w:val="Header"/>
    </w:pPr>
    <w:r>
      <w:rPr>
        <w:noProof/>
      </w:rPr>
      <w:pict w14:anchorId="0DE8A222">
        <v:shape id="_x0000_s1058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30A09D23">
        <v:shape id="_x0000_s1073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  <w:p w14:paraId="2709F97C" w14:textId="77777777" w:rsidR="005C3FC8" w:rsidRDefault="005C3FC8"/>
  <w:p w14:paraId="44B4E011" w14:textId="77777777" w:rsidR="004E18A2" w:rsidRDefault="006D3615">
    <w:pPr>
      <w:pStyle w:val="Header"/>
    </w:pPr>
    <w:r>
      <w:rPr>
        <w:noProof/>
      </w:rPr>
      <w:pict w14:anchorId="1CB916B1">
        <v:shape id="_x0000_s1040" type="#_x0000_t75" style="position:absolute;left:0;text-align:left;margin-left:0;margin-top:0;width:50pt;height:50pt;z-index:251671552;visibility:hidden">
          <v:path gradientshapeok="f"/>
          <o:lock v:ext="edit" selection="t"/>
        </v:shape>
      </w:pict>
    </w:r>
    <w:r>
      <w:pict w14:anchorId="03A84904">
        <v:shape id="_x0000_s1055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F8AE" w14:textId="524904C8" w:rsidR="00A432CD" w:rsidRPr="00C536E9" w:rsidRDefault="00DC5426" w:rsidP="00B72444">
    <w:pPr>
      <w:pStyle w:val="Header"/>
      <w:rPr>
        <w:sz w:val="18"/>
        <w:szCs w:val="18"/>
      </w:rPr>
    </w:pPr>
    <w:r w:rsidRPr="00C536E9">
      <w:rPr>
        <w:sz w:val="18"/>
        <w:szCs w:val="18"/>
      </w:rPr>
      <w:t xml:space="preserve">SERCOM-3/Doc. </w:t>
    </w:r>
    <w:r w:rsidR="007F707C">
      <w:rPr>
        <w:sz w:val="18"/>
        <w:szCs w:val="18"/>
      </w:rPr>
      <w:t>4.4(2)</w:t>
    </w:r>
    <w:r w:rsidR="00A432CD" w:rsidRPr="00C536E9">
      <w:rPr>
        <w:sz w:val="18"/>
        <w:szCs w:val="18"/>
      </w:rPr>
      <w:t xml:space="preserve">, </w:t>
    </w:r>
    <w:r w:rsidR="00032750" w:rsidRPr="00C536E9">
      <w:rPr>
        <w:sz w:val="18"/>
        <w:szCs w:val="18"/>
      </w:rPr>
      <w:t>VERSION</w:t>
    </w:r>
    <w:r w:rsidR="00A432CD" w:rsidRPr="00C536E9">
      <w:rPr>
        <w:sz w:val="18"/>
        <w:szCs w:val="18"/>
      </w:rPr>
      <w:t xml:space="preserve"> 1, p. </w:t>
    </w:r>
    <w:r w:rsidR="00A432CD" w:rsidRPr="00C536E9">
      <w:rPr>
        <w:rStyle w:val="PageNumber"/>
        <w:sz w:val="18"/>
        <w:szCs w:val="18"/>
      </w:rPr>
      <w:fldChar w:fldCharType="begin"/>
    </w:r>
    <w:r w:rsidR="00A432CD" w:rsidRPr="00C536E9">
      <w:rPr>
        <w:rStyle w:val="PageNumber"/>
        <w:sz w:val="18"/>
        <w:szCs w:val="18"/>
      </w:rPr>
      <w:instrText xml:space="preserve"> PAGE </w:instrText>
    </w:r>
    <w:r w:rsidR="00A432CD" w:rsidRPr="00C536E9">
      <w:rPr>
        <w:rStyle w:val="PageNumber"/>
        <w:sz w:val="18"/>
        <w:szCs w:val="18"/>
      </w:rPr>
      <w:fldChar w:fldCharType="separate"/>
    </w:r>
    <w:r w:rsidR="00A432CD" w:rsidRPr="00C536E9">
      <w:rPr>
        <w:rStyle w:val="PageNumber"/>
        <w:noProof/>
        <w:sz w:val="18"/>
        <w:szCs w:val="18"/>
      </w:rPr>
      <w:t>6</w:t>
    </w:r>
    <w:r w:rsidR="00A432CD" w:rsidRPr="00C536E9">
      <w:rPr>
        <w:rStyle w:val="PageNumber"/>
        <w:sz w:val="18"/>
        <w:szCs w:val="18"/>
      </w:rPr>
      <w:fldChar w:fldCharType="end"/>
    </w:r>
    <w:r w:rsidR="006D3615">
      <w:rPr>
        <w:sz w:val="18"/>
        <w:szCs w:val="18"/>
      </w:rPr>
      <w:pict w14:anchorId="6A05C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72576;visibility:hidden;mso-position-horizontal-relative:text;mso-position-vertical-relative:text">
          <v:path gradientshapeok="f"/>
          <o:lock v:ext="edit" selection="t"/>
        </v:shape>
      </w:pict>
    </w:r>
    <w:r w:rsidR="006D3615">
      <w:rPr>
        <w:sz w:val="18"/>
        <w:szCs w:val="18"/>
      </w:rPr>
      <w:pict w14:anchorId="79D265F8">
        <v:shape id="_x0000_s1036" type="#_x0000_t75" style="position:absolute;left:0;text-align:left;margin-left:0;margin-top:0;width:50pt;height:50pt;z-index:251673600;visibility:hidden;mso-position-horizontal-relative:text;mso-position-vertical-relative:text">
          <v:path gradientshapeok="f"/>
          <o:lock v:ext="edit" selection="t"/>
        </v:shape>
      </w:pict>
    </w:r>
    <w:r w:rsidR="006D3615">
      <w:rPr>
        <w:sz w:val="18"/>
        <w:szCs w:val="18"/>
      </w:rPr>
      <w:pict w14:anchorId="179ED920">
        <v:shape id="_x0000_s1054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6D3615">
      <w:rPr>
        <w:sz w:val="18"/>
        <w:szCs w:val="18"/>
      </w:rPr>
      <w:pict w14:anchorId="43FC682E">
        <v:shape id="_x0000_s1053" type="#_x0000_t75" style="position:absolute;left:0;text-align:left;margin-left:0;margin-top:0;width:50pt;height:50pt;z-index:251665408;visibility:hidden;mso-position-horizontal-relative:text;mso-position-vertical-relative:text">
          <v:path gradientshapeok="f"/>
          <o:lock v:ext="edit" selection="t"/>
        </v:shape>
      </w:pict>
    </w:r>
    <w:r w:rsidR="006D3615">
      <w:rPr>
        <w:sz w:val="18"/>
        <w:szCs w:val="18"/>
      </w:rPr>
      <w:pict w14:anchorId="45359875">
        <v:shape id="_x0000_s107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6D3615">
      <w:rPr>
        <w:sz w:val="18"/>
        <w:szCs w:val="18"/>
      </w:rPr>
      <w:pict w14:anchorId="3426A1FD">
        <v:shape id="_x0000_s1071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6D3615">
      <w:rPr>
        <w:sz w:val="18"/>
        <w:szCs w:val="18"/>
      </w:rPr>
      <w:pict w14:anchorId="49212673">
        <v:shape id="_x0000_s1094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6D3615">
      <w:rPr>
        <w:sz w:val="18"/>
        <w:szCs w:val="18"/>
      </w:rPr>
      <w:pict w14:anchorId="17CCE4D1">
        <v:shape id="_x0000_s1093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  <w:r w:rsidR="006D3615">
      <w:rPr>
        <w:sz w:val="18"/>
        <w:szCs w:val="18"/>
      </w:rPr>
      <w:pict w14:anchorId="2A72F401">
        <v:shape id="_x0000_s1102" type="#_x0000_t75" style="position:absolute;left:0;text-align:left;margin-left:0;margin-top:0;width:50pt;height:50pt;z-index:251644928;visibility:hidden;mso-position-horizontal-relative:text;mso-position-vertical-relative:text">
          <v:path gradientshapeok="f"/>
          <o:lock v:ext="edit" selection="t"/>
        </v:shape>
      </w:pict>
    </w:r>
    <w:r w:rsidR="006D3615">
      <w:rPr>
        <w:sz w:val="18"/>
        <w:szCs w:val="18"/>
      </w:rPr>
      <w:pict w14:anchorId="170020EF">
        <v:shape id="_x0000_s1101" type="#_x0000_t75" style="position:absolute;left:0;text-align:left;margin-left:0;margin-top:0;width:50pt;height:50pt;z-index:251645952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C834" w14:textId="1C629407" w:rsidR="004E18A2" w:rsidRPr="007C2D69" w:rsidRDefault="006D3615" w:rsidP="007C2D69">
    <w:pPr>
      <w:pStyle w:val="Header"/>
      <w:spacing w:after="0"/>
      <w:jc w:val="left"/>
      <w:rPr>
        <w:sz w:val="2"/>
        <w:szCs w:val="2"/>
      </w:rPr>
    </w:pPr>
    <w:r>
      <w:rPr>
        <w:noProof/>
        <w:sz w:val="2"/>
        <w:szCs w:val="2"/>
      </w:rPr>
      <w:pict w14:anchorId="36FAE4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0pt;height:50pt;z-index:251674624;visibility:hidden">
          <v:path gradientshapeok="f"/>
          <o:lock v:ext="edit" selection="t"/>
        </v:shape>
      </w:pict>
    </w:r>
    <w:r>
      <w:rPr>
        <w:sz w:val="2"/>
        <w:szCs w:val="2"/>
      </w:rPr>
      <w:pict w14:anchorId="5227A54C">
        <v:shape id="_x0000_s1048" type="#_x0000_t75" style="position:absolute;margin-left:0;margin-top:0;width:50pt;height:50pt;z-index:251669504;visibility:hidden">
          <v:path gradientshapeok="f"/>
          <o:lock v:ext="edit" selection="t"/>
        </v:shape>
      </w:pict>
    </w:r>
    <w:r>
      <w:rPr>
        <w:sz w:val="2"/>
        <w:szCs w:val="2"/>
      </w:rPr>
      <w:pict w14:anchorId="55FD29E0">
        <v:shape id="_x0000_s1047" type="#_x0000_t75" style="position:absolute;margin-left:0;margin-top:0;width:50pt;height:50pt;z-index:251670528;visibility:hidden">
          <v:path gradientshapeok="f"/>
          <o:lock v:ext="edit" selection="t"/>
        </v:shape>
      </w:pict>
    </w:r>
    <w:r>
      <w:rPr>
        <w:sz w:val="2"/>
        <w:szCs w:val="2"/>
      </w:rPr>
      <w:pict w14:anchorId="6C3C6B56">
        <v:shape id="_x0000_s1066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rPr>
        <w:sz w:val="2"/>
        <w:szCs w:val="2"/>
      </w:rPr>
      <w:pict w14:anchorId="64EEB0D6">
        <v:shape id="_x0000_s1065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rPr>
        <w:sz w:val="2"/>
        <w:szCs w:val="2"/>
      </w:rPr>
      <w:pict w14:anchorId="3402DF7B">
        <v:shape id="_x0000_s1088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rPr>
        <w:sz w:val="2"/>
        <w:szCs w:val="2"/>
      </w:rPr>
      <w:pict w14:anchorId="6D442E13">
        <v:shape id="_x0000_s1087" type="#_x0000_t75" style="position:absolute;margin-left:0;margin-top:0;width:50pt;height:50pt;z-index:251654144;visibility:hidden">
          <v:path gradientshapeok="f"/>
          <o:lock v:ext="edit" selection="t"/>
        </v:shape>
      </w:pict>
    </w:r>
    <w:r>
      <w:rPr>
        <w:sz w:val="2"/>
        <w:szCs w:val="2"/>
      </w:rPr>
      <w:pict w14:anchorId="6BA8782D">
        <v:shape id="_x0000_s1100" type="#_x0000_t75" style="position:absolute;margin-left:0;margin-top:0;width:50pt;height:50pt;z-index:251646976;visibility:hidden">
          <v:path gradientshapeok="f"/>
          <o:lock v:ext="edit" selection="t"/>
        </v:shape>
      </w:pict>
    </w:r>
    <w:r>
      <w:rPr>
        <w:sz w:val="2"/>
        <w:szCs w:val="2"/>
      </w:rPr>
      <w:pict w14:anchorId="4AD1257A">
        <v:shape id="_x0000_s1099" type="#_x0000_t75" style="position:absolute;margin-left:0;margin-top:0;width:50pt;height:50pt;z-index:251648000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5690"/>
    <w:multiLevelType w:val="hybridMultilevel"/>
    <w:tmpl w:val="3D10E4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684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4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26"/>
    <w:rsid w:val="00000059"/>
    <w:rsid w:val="00000853"/>
    <w:rsid w:val="00005301"/>
    <w:rsid w:val="000133EE"/>
    <w:rsid w:val="00015C76"/>
    <w:rsid w:val="000172AB"/>
    <w:rsid w:val="00020565"/>
    <w:rsid w:val="000206A8"/>
    <w:rsid w:val="00027205"/>
    <w:rsid w:val="0003137A"/>
    <w:rsid w:val="00032656"/>
    <w:rsid w:val="00032750"/>
    <w:rsid w:val="00037DA6"/>
    <w:rsid w:val="00041171"/>
    <w:rsid w:val="00041727"/>
    <w:rsid w:val="000417E8"/>
    <w:rsid w:val="0004224C"/>
    <w:rsid w:val="0004226F"/>
    <w:rsid w:val="00047A78"/>
    <w:rsid w:val="00050F8E"/>
    <w:rsid w:val="000518BB"/>
    <w:rsid w:val="00056FD4"/>
    <w:rsid w:val="000573AD"/>
    <w:rsid w:val="0006123B"/>
    <w:rsid w:val="00064F6B"/>
    <w:rsid w:val="0006659B"/>
    <w:rsid w:val="00072230"/>
    <w:rsid w:val="00072F17"/>
    <w:rsid w:val="000731AA"/>
    <w:rsid w:val="0007383C"/>
    <w:rsid w:val="00074D0E"/>
    <w:rsid w:val="00076758"/>
    <w:rsid w:val="000806D8"/>
    <w:rsid w:val="00082C80"/>
    <w:rsid w:val="00083847"/>
    <w:rsid w:val="00083C36"/>
    <w:rsid w:val="00084D58"/>
    <w:rsid w:val="0008567F"/>
    <w:rsid w:val="00091E74"/>
    <w:rsid w:val="00092CAE"/>
    <w:rsid w:val="00095E48"/>
    <w:rsid w:val="00096F79"/>
    <w:rsid w:val="000A184E"/>
    <w:rsid w:val="000A4683"/>
    <w:rsid w:val="000A4F1C"/>
    <w:rsid w:val="000A69BF"/>
    <w:rsid w:val="000C225A"/>
    <w:rsid w:val="000C6781"/>
    <w:rsid w:val="000C7D0B"/>
    <w:rsid w:val="000D0753"/>
    <w:rsid w:val="000D201D"/>
    <w:rsid w:val="000D3790"/>
    <w:rsid w:val="000E734D"/>
    <w:rsid w:val="000F1165"/>
    <w:rsid w:val="000F316C"/>
    <w:rsid w:val="000F34BE"/>
    <w:rsid w:val="000F5E49"/>
    <w:rsid w:val="000F683D"/>
    <w:rsid w:val="000F7A87"/>
    <w:rsid w:val="00102EAE"/>
    <w:rsid w:val="001043AC"/>
    <w:rsid w:val="001047DC"/>
    <w:rsid w:val="00105D2E"/>
    <w:rsid w:val="00111BFD"/>
    <w:rsid w:val="0011401C"/>
    <w:rsid w:val="0011498B"/>
    <w:rsid w:val="00120081"/>
    <w:rsid w:val="00120147"/>
    <w:rsid w:val="00122E62"/>
    <w:rsid w:val="00123140"/>
    <w:rsid w:val="00123D94"/>
    <w:rsid w:val="00130BBC"/>
    <w:rsid w:val="00133ADA"/>
    <w:rsid w:val="00133D13"/>
    <w:rsid w:val="00134BD9"/>
    <w:rsid w:val="001350D6"/>
    <w:rsid w:val="0014010B"/>
    <w:rsid w:val="001406B8"/>
    <w:rsid w:val="001428E9"/>
    <w:rsid w:val="00146014"/>
    <w:rsid w:val="00150DBD"/>
    <w:rsid w:val="00154EF7"/>
    <w:rsid w:val="00156F9B"/>
    <w:rsid w:val="00163BA3"/>
    <w:rsid w:val="00166B31"/>
    <w:rsid w:val="00167D54"/>
    <w:rsid w:val="00174A75"/>
    <w:rsid w:val="00176AB5"/>
    <w:rsid w:val="00180771"/>
    <w:rsid w:val="00190854"/>
    <w:rsid w:val="001923DE"/>
    <w:rsid w:val="001930A3"/>
    <w:rsid w:val="001954C3"/>
    <w:rsid w:val="00195EE5"/>
    <w:rsid w:val="00196EB8"/>
    <w:rsid w:val="001A0923"/>
    <w:rsid w:val="001A25F0"/>
    <w:rsid w:val="001A341E"/>
    <w:rsid w:val="001A477A"/>
    <w:rsid w:val="001A492E"/>
    <w:rsid w:val="001B0EA6"/>
    <w:rsid w:val="001B1CDF"/>
    <w:rsid w:val="001B2EC4"/>
    <w:rsid w:val="001B3438"/>
    <w:rsid w:val="001B56F4"/>
    <w:rsid w:val="001C5462"/>
    <w:rsid w:val="001D1A48"/>
    <w:rsid w:val="001D265C"/>
    <w:rsid w:val="001D3062"/>
    <w:rsid w:val="001D3CFB"/>
    <w:rsid w:val="001D559B"/>
    <w:rsid w:val="001D6302"/>
    <w:rsid w:val="001E2C22"/>
    <w:rsid w:val="001E5377"/>
    <w:rsid w:val="001E740C"/>
    <w:rsid w:val="001E7DD0"/>
    <w:rsid w:val="001F1BDA"/>
    <w:rsid w:val="001F307B"/>
    <w:rsid w:val="001F3E4C"/>
    <w:rsid w:val="0020095E"/>
    <w:rsid w:val="0020754E"/>
    <w:rsid w:val="00210BFE"/>
    <w:rsid w:val="00210D30"/>
    <w:rsid w:val="00213BFF"/>
    <w:rsid w:val="00216BFB"/>
    <w:rsid w:val="002204FD"/>
    <w:rsid w:val="00221020"/>
    <w:rsid w:val="00223F8D"/>
    <w:rsid w:val="00224534"/>
    <w:rsid w:val="00227029"/>
    <w:rsid w:val="002308B5"/>
    <w:rsid w:val="0023288B"/>
    <w:rsid w:val="00233C0B"/>
    <w:rsid w:val="00234A34"/>
    <w:rsid w:val="002404D5"/>
    <w:rsid w:val="0025255D"/>
    <w:rsid w:val="00255EE3"/>
    <w:rsid w:val="00256B3D"/>
    <w:rsid w:val="002619D6"/>
    <w:rsid w:val="00266210"/>
    <w:rsid w:val="00266DF7"/>
    <w:rsid w:val="0026743C"/>
    <w:rsid w:val="00270480"/>
    <w:rsid w:val="00270E51"/>
    <w:rsid w:val="00272189"/>
    <w:rsid w:val="002746DE"/>
    <w:rsid w:val="00275552"/>
    <w:rsid w:val="002779AF"/>
    <w:rsid w:val="002823D8"/>
    <w:rsid w:val="0028343D"/>
    <w:rsid w:val="0028531A"/>
    <w:rsid w:val="00285446"/>
    <w:rsid w:val="00287000"/>
    <w:rsid w:val="00290082"/>
    <w:rsid w:val="00295593"/>
    <w:rsid w:val="002A07F7"/>
    <w:rsid w:val="002A354F"/>
    <w:rsid w:val="002A386C"/>
    <w:rsid w:val="002B09DF"/>
    <w:rsid w:val="002B2D7F"/>
    <w:rsid w:val="002B540D"/>
    <w:rsid w:val="002B7A7E"/>
    <w:rsid w:val="002B7C89"/>
    <w:rsid w:val="002C30BC"/>
    <w:rsid w:val="002C5965"/>
    <w:rsid w:val="002C5E15"/>
    <w:rsid w:val="002C7A88"/>
    <w:rsid w:val="002C7AB9"/>
    <w:rsid w:val="002D232B"/>
    <w:rsid w:val="002D2759"/>
    <w:rsid w:val="002D29D4"/>
    <w:rsid w:val="002D5E00"/>
    <w:rsid w:val="002D6846"/>
    <w:rsid w:val="002D6DAC"/>
    <w:rsid w:val="002E261D"/>
    <w:rsid w:val="002E3FAD"/>
    <w:rsid w:val="002E4E16"/>
    <w:rsid w:val="002F2FCE"/>
    <w:rsid w:val="002F6DAC"/>
    <w:rsid w:val="00301E8C"/>
    <w:rsid w:val="00304B5F"/>
    <w:rsid w:val="00307DDD"/>
    <w:rsid w:val="00311D6A"/>
    <w:rsid w:val="003143C9"/>
    <w:rsid w:val="003146E9"/>
    <w:rsid w:val="00314BD8"/>
    <w:rsid w:val="00314D5D"/>
    <w:rsid w:val="0031630B"/>
    <w:rsid w:val="00320009"/>
    <w:rsid w:val="003203CC"/>
    <w:rsid w:val="00321737"/>
    <w:rsid w:val="0032268C"/>
    <w:rsid w:val="0032424A"/>
    <w:rsid w:val="003245D3"/>
    <w:rsid w:val="00330AA3"/>
    <w:rsid w:val="00331584"/>
    <w:rsid w:val="00331964"/>
    <w:rsid w:val="00331E67"/>
    <w:rsid w:val="00334987"/>
    <w:rsid w:val="00340C69"/>
    <w:rsid w:val="00342B56"/>
    <w:rsid w:val="00342E34"/>
    <w:rsid w:val="00343925"/>
    <w:rsid w:val="00347D3B"/>
    <w:rsid w:val="00362AE1"/>
    <w:rsid w:val="0036535A"/>
    <w:rsid w:val="00371CF1"/>
    <w:rsid w:val="0037222D"/>
    <w:rsid w:val="00373128"/>
    <w:rsid w:val="003750C1"/>
    <w:rsid w:val="00377A88"/>
    <w:rsid w:val="0038051E"/>
    <w:rsid w:val="00380AF7"/>
    <w:rsid w:val="00394346"/>
    <w:rsid w:val="00394A05"/>
    <w:rsid w:val="00397770"/>
    <w:rsid w:val="00397880"/>
    <w:rsid w:val="003A07A9"/>
    <w:rsid w:val="003A38C8"/>
    <w:rsid w:val="003A7016"/>
    <w:rsid w:val="003B0C08"/>
    <w:rsid w:val="003B2964"/>
    <w:rsid w:val="003B317E"/>
    <w:rsid w:val="003B44AF"/>
    <w:rsid w:val="003C17A5"/>
    <w:rsid w:val="003C1843"/>
    <w:rsid w:val="003C2FEC"/>
    <w:rsid w:val="003C336B"/>
    <w:rsid w:val="003D1552"/>
    <w:rsid w:val="003E381F"/>
    <w:rsid w:val="003E4046"/>
    <w:rsid w:val="003E659F"/>
    <w:rsid w:val="003E7504"/>
    <w:rsid w:val="003F003A"/>
    <w:rsid w:val="003F125B"/>
    <w:rsid w:val="003F2383"/>
    <w:rsid w:val="003F7B3F"/>
    <w:rsid w:val="004058AD"/>
    <w:rsid w:val="00406B82"/>
    <w:rsid w:val="0041078D"/>
    <w:rsid w:val="00414FE8"/>
    <w:rsid w:val="00416F97"/>
    <w:rsid w:val="00420F06"/>
    <w:rsid w:val="00421DE5"/>
    <w:rsid w:val="00425173"/>
    <w:rsid w:val="0043039B"/>
    <w:rsid w:val="00435F5D"/>
    <w:rsid w:val="00436197"/>
    <w:rsid w:val="004375B0"/>
    <w:rsid w:val="004423FE"/>
    <w:rsid w:val="0044404F"/>
    <w:rsid w:val="00445C35"/>
    <w:rsid w:val="00451C0D"/>
    <w:rsid w:val="0045370D"/>
    <w:rsid w:val="00454B41"/>
    <w:rsid w:val="0045663A"/>
    <w:rsid w:val="0046344E"/>
    <w:rsid w:val="00464DC3"/>
    <w:rsid w:val="004667E7"/>
    <w:rsid w:val="00466DC2"/>
    <w:rsid w:val="004672CF"/>
    <w:rsid w:val="00470DEF"/>
    <w:rsid w:val="00475797"/>
    <w:rsid w:val="004758EC"/>
    <w:rsid w:val="00476D0A"/>
    <w:rsid w:val="00483F8B"/>
    <w:rsid w:val="00491024"/>
    <w:rsid w:val="0049253B"/>
    <w:rsid w:val="004A140B"/>
    <w:rsid w:val="004A1481"/>
    <w:rsid w:val="004A2DF9"/>
    <w:rsid w:val="004A4B47"/>
    <w:rsid w:val="004A61B4"/>
    <w:rsid w:val="004A7EDD"/>
    <w:rsid w:val="004B0349"/>
    <w:rsid w:val="004B0EC9"/>
    <w:rsid w:val="004B7BAA"/>
    <w:rsid w:val="004C1F94"/>
    <w:rsid w:val="004C2DF7"/>
    <w:rsid w:val="004C4E0B"/>
    <w:rsid w:val="004C6A51"/>
    <w:rsid w:val="004D13F3"/>
    <w:rsid w:val="004D453C"/>
    <w:rsid w:val="004D497E"/>
    <w:rsid w:val="004D5F1C"/>
    <w:rsid w:val="004E18A2"/>
    <w:rsid w:val="004E4809"/>
    <w:rsid w:val="004E4CC3"/>
    <w:rsid w:val="004E5206"/>
    <w:rsid w:val="004E5985"/>
    <w:rsid w:val="004E6352"/>
    <w:rsid w:val="004E6460"/>
    <w:rsid w:val="004F092F"/>
    <w:rsid w:val="004F6133"/>
    <w:rsid w:val="004F6B46"/>
    <w:rsid w:val="0050425E"/>
    <w:rsid w:val="00511999"/>
    <w:rsid w:val="005145D6"/>
    <w:rsid w:val="0051625F"/>
    <w:rsid w:val="005171EB"/>
    <w:rsid w:val="00521EA5"/>
    <w:rsid w:val="0052258E"/>
    <w:rsid w:val="00525B80"/>
    <w:rsid w:val="005262D2"/>
    <w:rsid w:val="0053098F"/>
    <w:rsid w:val="00531A8D"/>
    <w:rsid w:val="00536B2E"/>
    <w:rsid w:val="00546D8E"/>
    <w:rsid w:val="005473DD"/>
    <w:rsid w:val="00553738"/>
    <w:rsid w:val="00553F7E"/>
    <w:rsid w:val="00563989"/>
    <w:rsid w:val="0056646F"/>
    <w:rsid w:val="00571AE1"/>
    <w:rsid w:val="005739B2"/>
    <w:rsid w:val="00577938"/>
    <w:rsid w:val="00580356"/>
    <w:rsid w:val="00581B28"/>
    <w:rsid w:val="00583FE4"/>
    <w:rsid w:val="005859C2"/>
    <w:rsid w:val="00592267"/>
    <w:rsid w:val="0059421F"/>
    <w:rsid w:val="0059636A"/>
    <w:rsid w:val="005A136D"/>
    <w:rsid w:val="005A2197"/>
    <w:rsid w:val="005A3A30"/>
    <w:rsid w:val="005A5A57"/>
    <w:rsid w:val="005B0AE2"/>
    <w:rsid w:val="005B1B3C"/>
    <w:rsid w:val="005B1F2C"/>
    <w:rsid w:val="005B5218"/>
    <w:rsid w:val="005B5F3C"/>
    <w:rsid w:val="005C0D77"/>
    <w:rsid w:val="005C3FC8"/>
    <w:rsid w:val="005C41F2"/>
    <w:rsid w:val="005C569B"/>
    <w:rsid w:val="005C66B6"/>
    <w:rsid w:val="005D03D9"/>
    <w:rsid w:val="005D1EE8"/>
    <w:rsid w:val="005D4C4A"/>
    <w:rsid w:val="005D535C"/>
    <w:rsid w:val="005D56AE"/>
    <w:rsid w:val="005D622A"/>
    <w:rsid w:val="005D666D"/>
    <w:rsid w:val="005E3A59"/>
    <w:rsid w:val="005F311A"/>
    <w:rsid w:val="00604802"/>
    <w:rsid w:val="00615AB0"/>
    <w:rsid w:val="00616247"/>
    <w:rsid w:val="0061778C"/>
    <w:rsid w:val="00622BD0"/>
    <w:rsid w:val="0062530B"/>
    <w:rsid w:val="0063469C"/>
    <w:rsid w:val="00636B90"/>
    <w:rsid w:val="00636C05"/>
    <w:rsid w:val="0064738B"/>
    <w:rsid w:val="006508EA"/>
    <w:rsid w:val="006525E0"/>
    <w:rsid w:val="00654AF0"/>
    <w:rsid w:val="00656878"/>
    <w:rsid w:val="00656EC2"/>
    <w:rsid w:val="00667E86"/>
    <w:rsid w:val="00671196"/>
    <w:rsid w:val="00677015"/>
    <w:rsid w:val="00682D97"/>
    <w:rsid w:val="0068392D"/>
    <w:rsid w:val="00684170"/>
    <w:rsid w:val="00697C03"/>
    <w:rsid w:val="00697DB5"/>
    <w:rsid w:val="006A1B33"/>
    <w:rsid w:val="006A492A"/>
    <w:rsid w:val="006A5CC5"/>
    <w:rsid w:val="006A743E"/>
    <w:rsid w:val="006B58FC"/>
    <w:rsid w:val="006B5C72"/>
    <w:rsid w:val="006B6E21"/>
    <w:rsid w:val="006B7C5A"/>
    <w:rsid w:val="006C1779"/>
    <w:rsid w:val="006C289D"/>
    <w:rsid w:val="006C67BF"/>
    <w:rsid w:val="006D0310"/>
    <w:rsid w:val="006D1AB7"/>
    <w:rsid w:val="006D2009"/>
    <w:rsid w:val="006D2638"/>
    <w:rsid w:val="006D3615"/>
    <w:rsid w:val="006D5576"/>
    <w:rsid w:val="006D66B8"/>
    <w:rsid w:val="006E57E3"/>
    <w:rsid w:val="006E766D"/>
    <w:rsid w:val="006E7F4D"/>
    <w:rsid w:val="006F4B29"/>
    <w:rsid w:val="006F6CE9"/>
    <w:rsid w:val="006F7AC6"/>
    <w:rsid w:val="0070198D"/>
    <w:rsid w:val="007038A4"/>
    <w:rsid w:val="00704937"/>
    <w:rsid w:val="0070517C"/>
    <w:rsid w:val="00705C9F"/>
    <w:rsid w:val="00711A4D"/>
    <w:rsid w:val="00716951"/>
    <w:rsid w:val="00717FA0"/>
    <w:rsid w:val="00720F6B"/>
    <w:rsid w:val="007265F5"/>
    <w:rsid w:val="00726C58"/>
    <w:rsid w:val="00730ADA"/>
    <w:rsid w:val="0073147A"/>
    <w:rsid w:val="00731792"/>
    <w:rsid w:val="00732C37"/>
    <w:rsid w:val="007348F5"/>
    <w:rsid w:val="00735D9E"/>
    <w:rsid w:val="007411A4"/>
    <w:rsid w:val="00741C1E"/>
    <w:rsid w:val="00745A09"/>
    <w:rsid w:val="00751EAF"/>
    <w:rsid w:val="00754CF7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84300"/>
    <w:rsid w:val="00786136"/>
    <w:rsid w:val="007A6F6B"/>
    <w:rsid w:val="007B05CF"/>
    <w:rsid w:val="007B2E32"/>
    <w:rsid w:val="007C212A"/>
    <w:rsid w:val="007C2A7F"/>
    <w:rsid w:val="007C2D69"/>
    <w:rsid w:val="007D2693"/>
    <w:rsid w:val="007D2A2B"/>
    <w:rsid w:val="007D5B3C"/>
    <w:rsid w:val="007D7E50"/>
    <w:rsid w:val="007E765D"/>
    <w:rsid w:val="007E7D21"/>
    <w:rsid w:val="007E7DBD"/>
    <w:rsid w:val="007F32A8"/>
    <w:rsid w:val="007F482F"/>
    <w:rsid w:val="007F707C"/>
    <w:rsid w:val="007F7C94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6D31"/>
    <w:rsid w:val="00846FC0"/>
    <w:rsid w:val="00847D99"/>
    <w:rsid w:val="0085038E"/>
    <w:rsid w:val="008520B0"/>
    <w:rsid w:val="0085230A"/>
    <w:rsid w:val="008531F8"/>
    <w:rsid w:val="00855757"/>
    <w:rsid w:val="008565CE"/>
    <w:rsid w:val="00860B9A"/>
    <w:rsid w:val="0086271D"/>
    <w:rsid w:val="0086420B"/>
    <w:rsid w:val="00864DBF"/>
    <w:rsid w:val="00865AE2"/>
    <w:rsid w:val="008663C8"/>
    <w:rsid w:val="00881087"/>
    <w:rsid w:val="0088163A"/>
    <w:rsid w:val="00893376"/>
    <w:rsid w:val="0089601F"/>
    <w:rsid w:val="008970B8"/>
    <w:rsid w:val="008973CB"/>
    <w:rsid w:val="008A32DD"/>
    <w:rsid w:val="008A7313"/>
    <w:rsid w:val="008A7D91"/>
    <w:rsid w:val="008B29AD"/>
    <w:rsid w:val="008B35C0"/>
    <w:rsid w:val="008B4F21"/>
    <w:rsid w:val="008B7FC7"/>
    <w:rsid w:val="008C4337"/>
    <w:rsid w:val="008C496D"/>
    <w:rsid w:val="008C4F06"/>
    <w:rsid w:val="008D0C90"/>
    <w:rsid w:val="008D3EE7"/>
    <w:rsid w:val="008D643E"/>
    <w:rsid w:val="008E113E"/>
    <w:rsid w:val="008E1E4A"/>
    <w:rsid w:val="008F0615"/>
    <w:rsid w:val="008F103E"/>
    <w:rsid w:val="008F1FDB"/>
    <w:rsid w:val="008F36FB"/>
    <w:rsid w:val="008F61E3"/>
    <w:rsid w:val="008F716B"/>
    <w:rsid w:val="008F7A8F"/>
    <w:rsid w:val="00902EA9"/>
    <w:rsid w:val="0090427F"/>
    <w:rsid w:val="00920506"/>
    <w:rsid w:val="00931DEB"/>
    <w:rsid w:val="00933957"/>
    <w:rsid w:val="0093508F"/>
    <w:rsid w:val="009356FA"/>
    <w:rsid w:val="00935D57"/>
    <w:rsid w:val="00942A77"/>
    <w:rsid w:val="0094603B"/>
    <w:rsid w:val="009504A1"/>
    <w:rsid w:val="00950605"/>
    <w:rsid w:val="00952233"/>
    <w:rsid w:val="00954D66"/>
    <w:rsid w:val="00957B99"/>
    <w:rsid w:val="00960B14"/>
    <w:rsid w:val="00960DFA"/>
    <w:rsid w:val="009622B4"/>
    <w:rsid w:val="00963F8F"/>
    <w:rsid w:val="00964AEB"/>
    <w:rsid w:val="00967292"/>
    <w:rsid w:val="0097001E"/>
    <w:rsid w:val="00973C62"/>
    <w:rsid w:val="00975D76"/>
    <w:rsid w:val="00982E51"/>
    <w:rsid w:val="00983512"/>
    <w:rsid w:val="009874B9"/>
    <w:rsid w:val="00987562"/>
    <w:rsid w:val="0099308E"/>
    <w:rsid w:val="00993581"/>
    <w:rsid w:val="009969F0"/>
    <w:rsid w:val="00997EBF"/>
    <w:rsid w:val="009A288C"/>
    <w:rsid w:val="009A64C1"/>
    <w:rsid w:val="009B0590"/>
    <w:rsid w:val="009B5914"/>
    <w:rsid w:val="009B6697"/>
    <w:rsid w:val="009C2B43"/>
    <w:rsid w:val="009C2EA4"/>
    <w:rsid w:val="009C4C04"/>
    <w:rsid w:val="009C5B66"/>
    <w:rsid w:val="009D5213"/>
    <w:rsid w:val="009D55D8"/>
    <w:rsid w:val="009E1C95"/>
    <w:rsid w:val="009E634F"/>
    <w:rsid w:val="009E6FF2"/>
    <w:rsid w:val="009F196A"/>
    <w:rsid w:val="009F289A"/>
    <w:rsid w:val="009F510D"/>
    <w:rsid w:val="009F5833"/>
    <w:rsid w:val="009F669B"/>
    <w:rsid w:val="009F7566"/>
    <w:rsid w:val="009F7F18"/>
    <w:rsid w:val="00A02A72"/>
    <w:rsid w:val="00A0525B"/>
    <w:rsid w:val="00A06BFE"/>
    <w:rsid w:val="00A10F5D"/>
    <w:rsid w:val="00A1199A"/>
    <w:rsid w:val="00A1243C"/>
    <w:rsid w:val="00A135AE"/>
    <w:rsid w:val="00A14AF1"/>
    <w:rsid w:val="00A16891"/>
    <w:rsid w:val="00A268CE"/>
    <w:rsid w:val="00A31D33"/>
    <w:rsid w:val="00A332E8"/>
    <w:rsid w:val="00A35AF5"/>
    <w:rsid w:val="00A35DDF"/>
    <w:rsid w:val="00A365BC"/>
    <w:rsid w:val="00A36CBA"/>
    <w:rsid w:val="00A42E4F"/>
    <w:rsid w:val="00A432CD"/>
    <w:rsid w:val="00A45741"/>
    <w:rsid w:val="00A471DC"/>
    <w:rsid w:val="00A47EF6"/>
    <w:rsid w:val="00A50291"/>
    <w:rsid w:val="00A512F1"/>
    <w:rsid w:val="00A530E4"/>
    <w:rsid w:val="00A60162"/>
    <w:rsid w:val="00A604CD"/>
    <w:rsid w:val="00A60FE6"/>
    <w:rsid w:val="00A6107E"/>
    <w:rsid w:val="00A622F5"/>
    <w:rsid w:val="00A654BE"/>
    <w:rsid w:val="00A66DD6"/>
    <w:rsid w:val="00A75018"/>
    <w:rsid w:val="00A771FD"/>
    <w:rsid w:val="00A80767"/>
    <w:rsid w:val="00A816AB"/>
    <w:rsid w:val="00A81C90"/>
    <w:rsid w:val="00A84238"/>
    <w:rsid w:val="00A84B75"/>
    <w:rsid w:val="00A850AB"/>
    <w:rsid w:val="00A874EF"/>
    <w:rsid w:val="00A93AE5"/>
    <w:rsid w:val="00A95415"/>
    <w:rsid w:val="00A975AD"/>
    <w:rsid w:val="00AA3C89"/>
    <w:rsid w:val="00AA71EA"/>
    <w:rsid w:val="00AA72F6"/>
    <w:rsid w:val="00AB32BD"/>
    <w:rsid w:val="00AB4723"/>
    <w:rsid w:val="00AC4CDB"/>
    <w:rsid w:val="00AC70FE"/>
    <w:rsid w:val="00AD20AB"/>
    <w:rsid w:val="00AD3AA3"/>
    <w:rsid w:val="00AD4358"/>
    <w:rsid w:val="00AE472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0B95"/>
    <w:rsid w:val="00B235DB"/>
    <w:rsid w:val="00B247B9"/>
    <w:rsid w:val="00B24B8D"/>
    <w:rsid w:val="00B424D9"/>
    <w:rsid w:val="00B447C0"/>
    <w:rsid w:val="00B44EC3"/>
    <w:rsid w:val="00B47014"/>
    <w:rsid w:val="00B52510"/>
    <w:rsid w:val="00B53E53"/>
    <w:rsid w:val="00B548A2"/>
    <w:rsid w:val="00B54CE7"/>
    <w:rsid w:val="00B56934"/>
    <w:rsid w:val="00B608C3"/>
    <w:rsid w:val="00B62F03"/>
    <w:rsid w:val="00B663EF"/>
    <w:rsid w:val="00B6713C"/>
    <w:rsid w:val="00B707B2"/>
    <w:rsid w:val="00B707C1"/>
    <w:rsid w:val="00B7182B"/>
    <w:rsid w:val="00B72444"/>
    <w:rsid w:val="00B73D34"/>
    <w:rsid w:val="00B86B64"/>
    <w:rsid w:val="00B93B62"/>
    <w:rsid w:val="00B9497F"/>
    <w:rsid w:val="00B953D1"/>
    <w:rsid w:val="00B96A41"/>
    <w:rsid w:val="00B96D93"/>
    <w:rsid w:val="00BA30D0"/>
    <w:rsid w:val="00BA4856"/>
    <w:rsid w:val="00BA52F5"/>
    <w:rsid w:val="00BA589C"/>
    <w:rsid w:val="00BB0D32"/>
    <w:rsid w:val="00BB4C90"/>
    <w:rsid w:val="00BB5717"/>
    <w:rsid w:val="00BC133C"/>
    <w:rsid w:val="00BC27DC"/>
    <w:rsid w:val="00BC76B5"/>
    <w:rsid w:val="00BD2C62"/>
    <w:rsid w:val="00BD4ABC"/>
    <w:rsid w:val="00BD5420"/>
    <w:rsid w:val="00BD5EE1"/>
    <w:rsid w:val="00BE0D97"/>
    <w:rsid w:val="00BE2D55"/>
    <w:rsid w:val="00BE3781"/>
    <w:rsid w:val="00BF38AF"/>
    <w:rsid w:val="00BF5191"/>
    <w:rsid w:val="00C0281A"/>
    <w:rsid w:val="00C04BD2"/>
    <w:rsid w:val="00C0621A"/>
    <w:rsid w:val="00C06DBF"/>
    <w:rsid w:val="00C13EEC"/>
    <w:rsid w:val="00C14689"/>
    <w:rsid w:val="00C149CB"/>
    <w:rsid w:val="00C156A4"/>
    <w:rsid w:val="00C20FAA"/>
    <w:rsid w:val="00C23509"/>
    <w:rsid w:val="00C2459D"/>
    <w:rsid w:val="00C2755A"/>
    <w:rsid w:val="00C316F1"/>
    <w:rsid w:val="00C42C95"/>
    <w:rsid w:val="00C4470F"/>
    <w:rsid w:val="00C455B6"/>
    <w:rsid w:val="00C47B64"/>
    <w:rsid w:val="00C50727"/>
    <w:rsid w:val="00C536E9"/>
    <w:rsid w:val="00C55BE1"/>
    <w:rsid w:val="00C55E5B"/>
    <w:rsid w:val="00C56ECA"/>
    <w:rsid w:val="00C62739"/>
    <w:rsid w:val="00C64A78"/>
    <w:rsid w:val="00C673F1"/>
    <w:rsid w:val="00C70C3C"/>
    <w:rsid w:val="00C720A4"/>
    <w:rsid w:val="00C74F59"/>
    <w:rsid w:val="00C7611C"/>
    <w:rsid w:val="00C76B7A"/>
    <w:rsid w:val="00C80F80"/>
    <w:rsid w:val="00C81457"/>
    <w:rsid w:val="00C94097"/>
    <w:rsid w:val="00CA4269"/>
    <w:rsid w:val="00CA48CA"/>
    <w:rsid w:val="00CA7330"/>
    <w:rsid w:val="00CB1C84"/>
    <w:rsid w:val="00CB2A2B"/>
    <w:rsid w:val="00CB5363"/>
    <w:rsid w:val="00CB64F0"/>
    <w:rsid w:val="00CC0730"/>
    <w:rsid w:val="00CC2909"/>
    <w:rsid w:val="00CD0549"/>
    <w:rsid w:val="00CD068A"/>
    <w:rsid w:val="00CD1173"/>
    <w:rsid w:val="00CD58F0"/>
    <w:rsid w:val="00CE02A1"/>
    <w:rsid w:val="00CE0DA4"/>
    <w:rsid w:val="00CE29C4"/>
    <w:rsid w:val="00CE6B3C"/>
    <w:rsid w:val="00D001E8"/>
    <w:rsid w:val="00D05E6F"/>
    <w:rsid w:val="00D07B75"/>
    <w:rsid w:val="00D16766"/>
    <w:rsid w:val="00D20296"/>
    <w:rsid w:val="00D2231A"/>
    <w:rsid w:val="00D239C3"/>
    <w:rsid w:val="00D26529"/>
    <w:rsid w:val="00D276BD"/>
    <w:rsid w:val="00D27929"/>
    <w:rsid w:val="00D33442"/>
    <w:rsid w:val="00D419C6"/>
    <w:rsid w:val="00D44BAD"/>
    <w:rsid w:val="00D45B55"/>
    <w:rsid w:val="00D4716D"/>
    <w:rsid w:val="00D4785A"/>
    <w:rsid w:val="00D520BE"/>
    <w:rsid w:val="00D52E43"/>
    <w:rsid w:val="00D5504B"/>
    <w:rsid w:val="00D664D7"/>
    <w:rsid w:val="00D66DCC"/>
    <w:rsid w:val="00D676AE"/>
    <w:rsid w:val="00D67E1E"/>
    <w:rsid w:val="00D7097B"/>
    <w:rsid w:val="00D7197D"/>
    <w:rsid w:val="00D72BC4"/>
    <w:rsid w:val="00D815FC"/>
    <w:rsid w:val="00D846D3"/>
    <w:rsid w:val="00D8517B"/>
    <w:rsid w:val="00D91A73"/>
    <w:rsid w:val="00D91DFA"/>
    <w:rsid w:val="00DA159A"/>
    <w:rsid w:val="00DA2AE6"/>
    <w:rsid w:val="00DB0B95"/>
    <w:rsid w:val="00DB1298"/>
    <w:rsid w:val="00DB1AB2"/>
    <w:rsid w:val="00DB3ACB"/>
    <w:rsid w:val="00DB3F48"/>
    <w:rsid w:val="00DB5484"/>
    <w:rsid w:val="00DB5901"/>
    <w:rsid w:val="00DC081C"/>
    <w:rsid w:val="00DC17C2"/>
    <w:rsid w:val="00DC1AD3"/>
    <w:rsid w:val="00DC277E"/>
    <w:rsid w:val="00DC4FDF"/>
    <w:rsid w:val="00DC5426"/>
    <w:rsid w:val="00DC66F0"/>
    <w:rsid w:val="00DD0119"/>
    <w:rsid w:val="00DD2C3A"/>
    <w:rsid w:val="00DD3105"/>
    <w:rsid w:val="00DD36B9"/>
    <w:rsid w:val="00DD3A65"/>
    <w:rsid w:val="00DD62C6"/>
    <w:rsid w:val="00DE3B92"/>
    <w:rsid w:val="00DE48B4"/>
    <w:rsid w:val="00DE5ACA"/>
    <w:rsid w:val="00DE7137"/>
    <w:rsid w:val="00DF18E4"/>
    <w:rsid w:val="00DF6589"/>
    <w:rsid w:val="00DF6E09"/>
    <w:rsid w:val="00E00498"/>
    <w:rsid w:val="00E00D8B"/>
    <w:rsid w:val="00E016FD"/>
    <w:rsid w:val="00E0192A"/>
    <w:rsid w:val="00E02143"/>
    <w:rsid w:val="00E049C6"/>
    <w:rsid w:val="00E1464C"/>
    <w:rsid w:val="00E14ADB"/>
    <w:rsid w:val="00E22F78"/>
    <w:rsid w:val="00E23627"/>
    <w:rsid w:val="00E2425D"/>
    <w:rsid w:val="00E24F87"/>
    <w:rsid w:val="00E2617A"/>
    <w:rsid w:val="00E273FB"/>
    <w:rsid w:val="00E31CD4"/>
    <w:rsid w:val="00E433CA"/>
    <w:rsid w:val="00E538E6"/>
    <w:rsid w:val="00E55540"/>
    <w:rsid w:val="00E56696"/>
    <w:rsid w:val="00E62B2C"/>
    <w:rsid w:val="00E7108E"/>
    <w:rsid w:val="00E74332"/>
    <w:rsid w:val="00E768A9"/>
    <w:rsid w:val="00E77399"/>
    <w:rsid w:val="00E802A2"/>
    <w:rsid w:val="00E8410F"/>
    <w:rsid w:val="00E843C8"/>
    <w:rsid w:val="00E8451B"/>
    <w:rsid w:val="00E85C0B"/>
    <w:rsid w:val="00E879B9"/>
    <w:rsid w:val="00EA499B"/>
    <w:rsid w:val="00EA7089"/>
    <w:rsid w:val="00EB0ADE"/>
    <w:rsid w:val="00EB0FED"/>
    <w:rsid w:val="00EB13D7"/>
    <w:rsid w:val="00EB1E83"/>
    <w:rsid w:val="00EB6715"/>
    <w:rsid w:val="00ED22CB"/>
    <w:rsid w:val="00ED4BB1"/>
    <w:rsid w:val="00ED67AF"/>
    <w:rsid w:val="00ED68D0"/>
    <w:rsid w:val="00EE11F0"/>
    <w:rsid w:val="00EE128C"/>
    <w:rsid w:val="00EE4C48"/>
    <w:rsid w:val="00EE53BE"/>
    <w:rsid w:val="00EE5D2E"/>
    <w:rsid w:val="00EE7E6F"/>
    <w:rsid w:val="00EF15F3"/>
    <w:rsid w:val="00EF636D"/>
    <w:rsid w:val="00EF66D9"/>
    <w:rsid w:val="00EF68E3"/>
    <w:rsid w:val="00EF6BA5"/>
    <w:rsid w:val="00EF780D"/>
    <w:rsid w:val="00EF7A98"/>
    <w:rsid w:val="00F0267E"/>
    <w:rsid w:val="00F0458A"/>
    <w:rsid w:val="00F071B2"/>
    <w:rsid w:val="00F11B47"/>
    <w:rsid w:val="00F1329F"/>
    <w:rsid w:val="00F13CCB"/>
    <w:rsid w:val="00F2412D"/>
    <w:rsid w:val="00F25346"/>
    <w:rsid w:val="00F25D8D"/>
    <w:rsid w:val="00F268AC"/>
    <w:rsid w:val="00F3069C"/>
    <w:rsid w:val="00F318DA"/>
    <w:rsid w:val="00F32E16"/>
    <w:rsid w:val="00F3603E"/>
    <w:rsid w:val="00F40EBA"/>
    <w:rsid w:val="00F41F21"/>
    <w:rsid w:val="00F44CCB"/>
    <w:rsid w:val="00F474C9"/>
    <w:rsid w:val="00F5126B"/>
    <w:rsid w:val="00F54EA3"/>
    <w:rsid w:val="00F60625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4F4F"/>
    <w:rsid w:val="00F95439"/>
    <w:rsid w:val="00FA0FDD"/>
    <w:rsid w:val="00FA6E5B"/>
    <w:rsid w:val="00FA7416"/>
    <w:rsid w:val="00FB0872"/>
    <w:rsid w:val="00FB54CC"/>
    <w:rsid w:val="00FC3096"/>
    <w:rsid w:val="00FC7382"/>
    <w:rsid w:val="00FD19C1"/>
    <w:rsid w:val="00FD1A37"/>
    <w:rsid w:val="00FD4E5B"/>
    <w:rsid w:val="00FD6E99"/>
    <w:rsid w:val="00FE4EE0"/>
    <w:rsid w:val="00FE4FED"/>
    <w:rsid w:val="00FE7320"/>
    <w:rsid w:val="00FF0F9A"/>
    <w:rsid w:val="00FF49F6"/>
    <w:rsid w:val="00FF5337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08B7333"/>
  <w15:docId w15:val="{E19C01D1-86CB-4F29-84FC-70B64976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4C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EA499B"/>
    <w:rPr>
      <w:rFonts w:ascii="Verdana" w:eastAsia="Arial" w:hAnsi="Verdana" w:cs="Arial"/>
      <w:lang w:val="en-GB" w:eastAsia="en-US"/>
    </w:rPr>
  </w:style>
  <w:style w:type="character" w:customStyle="1" w:styleId="normaltextrun">
    <w:name w:val="normaltextrun"/>
    <w:basedOn w:val="DefaultParagraphFont"/>
    <w:rsid w:val="0003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mo.int/events/meeting/expert-meeting-state-of-climate-report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viewer/55219/?offset=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viewer/68194/?offset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CB730-5BC2-4F38-8AAE-4FE545D86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3809E-1F3E-481E-AD21-DC58C9E98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C2D03676-B245-4C35-8D2B-FAA2689FC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2086f-1306-468c-afe6-705dad0a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13438</CharactersWithSpaces>
  <SharedDoc>false</SharedDoc>
  <HLinks>
    <vt:vector size="36" baseType="variant">
      <vt:variant>
        <vt:i4>1507349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_Annex_to_Draft_1</vt:lpwstr>
      </vt:variant>
      <vt:variant>
        <vt:i4>1507349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_Annex_to_Draft_1</vt:lpwstr>
      </vt:variant>
      <vt:variant>
        <vt:i4>6160460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https://library.wmo.int/idviewer/67177/22</vt:lpwstr>
      </vt:variant>
      <vt:variant>
        <vt:lpwstr/>
      </vt:variant>
      <vt:variant>
        <vt:i4>6160451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https://library.wmo.int/idviewer/56690/14</vt:lpwstr>
      </vt:variant>
      <vt:variant>
        <vt:lpwstr/>
      </vt:variant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_DRAFT_RESOLUTION_4.2/1_(EC-64)_-_PU</vt:lpwstr>
      </vt:variant>
      <vt:variant>
        <vt:i4>5636198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_Draft_Recommendation_5.4(3)/1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Francoise Fol</dc:creator>
  <cp:lastModifiedBy>Frédérique Julliard</cp:lastModifiedBy>
  <cp:revision>35</cp:revision>
  <cp:lastPrinted>2024-01-26T11:08:00Z</cp:lastPrinted>
  <dcterms:created xsi:type="dcterms:W3CDTF">2024-01-18T11:42:00Z</dcterms:created>
  <dcterms:modified xsi:type="dcterms:W3CDTF">2024-01-29T09:20:00Z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virginie.fruit</vt:lpwstr>
  </property>
  <property fmtid="{D5CDD505-2E9C-101B-9397-08002B2CF9AE}" pid="6" name="GeneratedDate">
    <vt:lpwstr>01/25/2024 10:38:04</vt:lpwstr>
  </property>
  <property fmtid="{D5CDD505-2E9C-101B-9397-08002B2CF9AE}" pid="7" name="OriginalDocID">
    <vt:lpwstr>c2f80fd2-964e-4f98-a2bb-656e7c6f83f3</vt:lpwstr>
  </property>
</Properties>
</file>